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sz w:val="2"/>
        </w:rPr>
        <w:id w:val="-1881701387"/>
        <w:docPartObj>
          <w:docPartGallery w:val="Cover Pages"/>
          <w:docPartUnique/>
        </w:docPartObj>
      </w:sdtPr>
      <w:sdtEndPr>
        <w:rPr>
          <w:sz w:val="22"/>
        </w:rPr>
      </w:sdtEndPr>
      <w:sdtContent>
        <w:p w14:paraId="27E4F016" w14:textId="77777777" w:rsidR="002A3623" w:rsidRDefault="002A3623">
          <w:pPr>
            <w:pStyle w:val="NoSpacing"/>
            <w:rPr>
              <w:sz w:val="2"/>
            </w:rPr>
          </w:pPr>
        </w:p>
        <w:p w14:paraId="14DB4DF7" w14:textId="77777777" w:rsidR="002A3623" w:rsidRDefault="002A3623">
          <w:r>
            <w:rPr>
              <w:noProof/>
              <w:lang w:val="en-GB" w:eastAsia="en-GB"/>
            </w:rPr>
            <mc:AlternateContent>
              <mc:Choice Requires="wps">
                <w:drawing>
                  <wp:anchor distT="0" distB="0" distL="114300" distR="114300" simplePos="0" relativeHeight="251661312" behindDoc="0" locked="0" layoutInCell="1" allowOverlap="1" wp14:anchorId="05B547B6" wp14:editId="168CB3E3">
                    <wp:simplePos x="0" y="0"/>
                    <wp:positionH relativeFrom="page">
                      <wp:align>center</wp:align>
                    </wp:positionH>
                    <wp:positionV relativeFrom="margin">
                      <wp:align>top</wp:align>
                    </wp:positionV>
                    <wp:extent cx="5783580" cy="2698750"/>
                    <wp:effectExtent l="0" t="0" r="0" b="3810"/>
                    <wp:wrapNone/>
                    <wp:docPr id="62" name="Text Box 62"/>
                    <wp:cNvGraphicFramePr/>
                    <a:graphic xmlns:a="http://schemas.openxmlformats.org/drawingml/2006/main">
                      <a:graphicData uri="http://schemas.microsoft.com/office/word/2010/wordprocessingShape">
                        <wps:wsp>
                          <wps:cNvSpPr txBox="1"/>
                          <wps:spPr>
                            <a:xfrm>
                              <a:off x="0" y="0"/>
                              <a:ext cx="5783580" cy="2698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548DD4" w:themeColor="text2" w:themeTint="99"/>
                                    <w:sz w:val="62"/>
                                    <w:szCs w:val="62"/>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sdtContent>
                                  <w:p w14:paraId="26DCA6F8" w14:textId="77777777" w:rsidR="002A3623" w:rsidRDefault="0071154B" w:rsidP="002A3623">
                                    <w:pPr>
                                      <w:pStyle w:val="NoSpacing"/>
                                      <w:jc w:val="center"/>
                                      <w:rPr>
                                        <w:rFonts w:asciiTheme="majorHAnsi" w:eastAsiaTheme="majorEastAsia" w:hAnsiTheme="majorHAnsi" w:cstheme="majorBidi"/>
                                        <w:caps/>
                                        <w:color w:val="548DD4" w:themeColor="text2" w:themeTint="99"/>
                                        <w:sz w:val="68"/>
                                        <w:szCs w:val="68"/>
                                      </w:rPr>
                                    </w:pPr>
                                    <w:r>
                                      <w:rPr>
                                        <w:rFonts w:asciiTheme="majorHAnsi" w:eastAsiaTheme="majorEastAsia" w:hAnsiTheme="majorHAnsi" w:cstheme="majorBidi"/>
                                        <w:caps/>
                                        <w:color w:val="548DD4" w:themeColor="text2" w:themeTint="99"/>
                                        <w:sz w:val="62"/>
                                        <w:szCs w:val="62"/>
                                        <w:lang w:val="en-GB"/>
                                      </w:rPr>
                                      <w:t>SADC TFCA</w:t>
                                    </w:r>
                                    <w:r w:rsidR="008F72DD">
                                      <w:rPr>
                                        <w:rFonts w:asciiTheme="majorHAnsi" w:eastAsiaTheme="majorEastAsia" w:hAnsiTheme="majorHAnsi" w:cstheme="majorBidi"/>
                                        <w:caps/>
                                        <w:color w:val="548DD4" w:themeColor="text2" w:themeTint="99"/>
                                        <w:sz w:val="62"/>
                                        <w:szCs w:val="62"/>
                                        <w:lang w:val="en-GB"/>
                                      </w:rPr>
                                      <w:t xml:space="preserve">s         </w:t>
                                    </w:r>
                                    <w:r>
                                      <w:rPr>
                                        <w:rFonts w:asciiTheme="majorHAnsi" w:eastAsiaTheme="majorEastAsia" w:hAnsiTheme="majorHAnsi" w:cstheme="majorBidi"/>
                                        <w:caps/>
                                        <w:color w:val="548DD4" w:themeColor="text2" w:themeTint="99"/>
                                        <w:sz w:val="62"/>
                                        <w:szCs w:val="62"/>
                                        <w:lang w:val="en-GB"/>
                                      </w:rPr>
                                      <w:t xml:space="preserve">           Training &amp; Capacity Building                   Community of Practice</w:t>
                                    </w:r>
                                  </w:p>
                                </w:sdtContent>
                              </w:sdt>
                              <w:p w14:paraId="79FE3D53" w14:textId="77777777" w:rsidR="002A3623" w:rsidRDefault="00B054FE" w:rsidP="002A3623">
                                <w:pPr>
                                  <w:pStyle w:val="NoSpacing"/>
                                  <w:spacing w:before="240"/>
                                  <w:jc w:val="center"/>
                                  <w:rPr>
                                    <w:color w:val="4F81BD" w:themeColor="accent1"/>
                                    <w:sz w:val="36"/>
                                    <w:szCs w:val="36"/>
                                  </w:rPr>
                                </w:pPr>
                                <w:sdt>
                                  <w:sdtPr>
                                    <w:rPr>
                                      <w:color w:val="4F81BD" w:themeColor="accent1"/>
                                      <w:sz w:val="36"/>
                                      <w:szCs w:val="36"/>
                                      <w:vertAlign w:val="superscript"/>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2A3623" w:rsidRPr="002A3623">
                                      <w:rPr>
                                        <w:color w:val="4F81BD" w:themeColor="accent1"/>
                                        <w:sz w:val="36"/>
                                        <w:szCs w:val="36"/>
                                        <w:vertAlign w:val="superscript"/>
                                      </w:rPr>
                                      <w:t xml:space="preserve">CoP meeting held at SANParks headquarters (Pretoria) on 7th </w:t>
                                    </w:r>
                                    <w:r w:rsidR="002A3623">
                                      <w:rPr>
                                        <w:color w:val="4F81BD" w:themeColor="accent1"/>
                                        <w:sz w:val="36"/>
                                        <w:szCs w:val="36"/>
                                        <w:vertAlign w:val="superscript"/>
                                      </w:rPr>
                                      <w:t>November 2017.</w:t>
                                    </w:r>
                                  </w:sdtContent>
                                </w:sdt>
                              </w:p>
                              <w:p w14:paraId="29839310" w14:textId="77777777" w:rsidR="002A3623" w:rsidRDefault="002A3623" w:rsidP="002A362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05B547B6" id="_x0000_t202" coordsize="21600,21600" o:spt="202" path="m0,0l0,21600,21600,21600,21600,0xe">
                    <v:stroke joinstyle="miter"/>
                    <v:path gradientshapeok="t" o:connecttype="rect"/>
                  </v:shapetype>
                  <v:shape id="Text Box 62" o:spid="_x0000_s1026" type="#_x0000_t202" style="position:absolute;margin-left:0;margin-top:0;width:455.4pt;height:212.5pt;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" filled="f" stroked="f" strokeweight=".5pt">
                    <v:textbox style="mso-fit-shape-to-text:t">
                      <w:txbxContent>
                        <w:sdt>
                          <w:sdtPr>
                            <w:rPr>
                              <w:rFonts w:asciiTheme="majorHAnsi" w:eastAsiaTheme="majorEastAsia" w:hAnsiTheme="majorHAnsi" w:cstheme="majorBidi"/>
                              <w:caps/>
                              <w:color w:val="548DD4" w:themeColor="text2" w:themeTint="99"/>
                              <w:sz w:val="62"/>
                              <w:szCs w:val="62"/>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sdtContent>
                            <w:p w14:paraId="26DCA6F8" w14:textId="77777777" w:rsidR="002A3623" w:rsidRDefault="0071154B" w:rsidP="002A3623">
                              <w:pPr>
                                <w:pStyle w:val="NoSpacing"/>
                                <w:jc w:val="center"/>
                                <w:rPr>
                                  <w:rFonts w:asciiTheme="majorHAnsi" w:eastAsiaTheme="majorEastAsia" w:hAnsiTheme="majorHAnsi" w:cstheme="majorBidi"/>
                                  <w:caps/>
                                  <w:color w:val="548DD4" w:themeColor="text2" w:themeTint="99"/>
                                  <w:sz w:val="68"/>
                                  <w:szCs w:val="68"/>
                                </w:rPr>
                              </w:pPr>
                              <w:r>
                                <w:rPr>
                                  <w:rFonts w:asciiTheme="majorHAnsi" w:eastAsiaTheme="majorEastAsia" w:hAnsiTheme="majorHAnsi" w:cstheme="majorBidi"/>
                                  <w:caps/>
                                  <w:color w:val="548DD4" w:themeColor="text2" w:themeTint="99"/>
                                  <w:sz w:val="62"/>
                                  <w:szCs w:val="62"/>
                                  <w:lang w:val="en-GB"/>
                                </w:rPr>
                                <w:t>SADC TFCA</w:t>
                              </w:r>
                              <w:r w:rsidR="008F72DD">
                                <w:rPr>
                                  <w:rFonts w:asciiTheme="majorHAnsi" w:eastAsiaTheme="majorEastAsia" w:hAnsiTheme="majorHAnsi" w:cstheme="majorBidi"/>
                                  <w:caps/>
                                  <w:color w:val="548DD4" w:themeColor="text2" w:themeTint="99"/>
                                  <w:sz w:val="62"/>
                                  <w:szCs w:val="62"/>
                                  <w:lang w:val="en-GB"/>
                                </w:rPr>
                                <w:t xml:space="preserve">s         </w:t>
                              </w:r>
                              <w:r>
                                <w:rPr>
                                  <w:rFonts w:asciiTheme="majorHAnsi" w:eastAsiaTheme="majorEastAsia" w:hAnsiTheme="majorHAnsi" w:cstheme="majorBidi"/>
                                  <w:caps/>
                                  <w:color w:val="548DD4" w:themeColor="text2" w:themeTint="99"/>
                                  <w:sz w:val="62"/>
                                  <w:szCs w:val="62"/>
                                  <w:lang w:val="en-GB"/>
                                </w:rPr>
                                <w:t xml:space="preserve">           Training &amp; Capacity Building                   Community of Practice</w:t>
                              </w:r>
                            </w:p>
                          </w:sdtContent>
                        </w:sdt>
                        <w:p w14:paraId="79FE3D53" w14:textId="77777777" w:rsidR="002A3623" w:rsidRDefault="000F58F0" w:rsidP="002A3623">
                          <w:pPr>
                            <w:pStyle w:val="NoSpacing"/>
                            <w:spacing w:before="240"/>
                            <w:jc w:val="center"/>
                            <w:rPr>
                              <w:color w:val="4F81BD" w:themeColor="accent1"/>
                              <w:sz w:val="36"/>
                              <w:szCs w:val="36"/>
                            </w:rPr>
                          </w:pPr>
                          <w:sdt>
                            <w:sdtPr>
                              <w:rPr>
                                <w:color w:val="4F81BD" w:themeColor="accent1"/>
                                <w:sz w:val="36"/>
                                <w:szCs w:val="36"/>
                                <w:vertAlign w:val="superscript"/>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2A3623" w:rsidRPr="002A3623">
                                <w:rPr>
                                  <w:color w:val="4F81BD" w:themeColor="accent1"/>
                                  <w:sz w:val="36"/>
                                  <w:szCs w:val="36"/>
                                  <w:vertAlign w:val="superscript"/>
                                </w:rPr>
                                <w:t xml:space="preserve">CoP meeting held at SANParks headquarters (Pretoria) on 7th </w:t>
                              </w:r>
                              <w:r w:rsidR="002A3623">
                                <w:rPr>
                                  <w:color w:val="4F81BD" w:themeColor="accent1"/>
                                  <w:sz w:val="36"/>
                                  <w:szCs w:val="36"/>
                                  <w:vertAlign w:val="superscript"/>
                                </w:rPr>
                                <w:t>November 2017.</w:t>
                              </w:r>
                            </w:sdtContent>
                          </w:sdt>
                        </w:p>
                        <w:p w14:paraId="29839310" w14:textId="77777777" w:rsidR="002A3623" w:rsidRDefault="002A3623" w:rsidP="002A3623">
                          <w:pPr>
                            <w:jc w:val="center"/>
                          </w:pPr>
                        </w:p>
                      </w:txbxContent>
                    </v:textbox>
                    <w10:wrap anchorx="page" anchory="margin"/>
                  </v:shape>
                </w:pict>
              </mc:Fallback>
            </mc:AlternateContent>
          </w:r>
          <w:r>
            <w:rPr>
              <w:noProof/>
              <w:color w:val="4F81BD" w:themeColor="accent1"/>
              <w:sz w:val="36"/>
              <w:szCs w:val="36"/>
              <w:lang w:val="en-GB" w:eastAsia="en-GB"/>
            </w:rPr>
            <mc:AlternateContent>
              <mc:Choice Requires="wpg">
                <w:drawing>
                  <wp:anchor distT="0" distB="0" distL="114300" distR="114300" simplePos="0" relativeHeight="251660288" behindDoc="1" locked="0" layoutInCell="1" allowOverlap="1" wp14:anchorId="2EDDC9BB" wp14:editId="0D90E29A">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410B9067" id="Group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">
                    <o:lock v:ext="edit" aspectratio="t"/>
                    <v:shape id="Freeform 64" o:spid="_x0000_s1027" style="position:absolute;left:15017;width:28274;height:28352;visibility:visible;mso-wrap-style:square;v-text-anchor:top" coordsize="1781,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V0MMA&#10;AADbAAAADwAAAGRycy9kb3ducmV2LnhtbESPQWsCMRSE70L/Q3iF3jRbKWJXo9jCtt5qt8XzY/Pc&#10;DW5etklc139vCoLHYWa+YZbrwbaiJx+MYwXPkwwEceW04VrB708xnoMIEVlj65gUXCjAevUwWmKu&#10;3Zm/qS9jLRKEQ44Kmhi7XMpQNWQxTFxHnLyD8xZjkr6W2uM5wW0rp1k2kxYNp4UGO3pvqDqWJ6ug&#10;f/PDV3T7bVGY3avs9Yf5+9wr9fQ4bBYgIg3xHr61t1rB7AX+v6Qf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V0MMAAADbAAAADwAAAAAAAAAAAAAAAACYAgAAZHJzL2Rv&#10;d25yZXYueG1sUEsFBgAAAAAEAAQA9QAAAIgD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qRWMUA&#10;AADbAAAADwAAAGRycy9kb3ducmV2LnhtbESP0WrCQBRE34X+w3ILfdNNWgxNdJUSWvRBLE37AbfZ&#10;axKavZtmV41+vSsIPg4zc4aZLwfTigP1rrGsIJ5EIIhLqxuuFPx8f4xfQTiPrLG1TApO5GC5eBjN&#10;MdP2yF90KHwlAoRdhgpq77tMSlfWZNBNbEccvJ3tDfog+0rqHo8Bblr5HEWJNNhwWKixo7ym8q/Y&#10;GwXDeb/afL7H3SZp0xf/K//zdItKPT0ObzMQngZ/D9/aa60gmcL1S/gBc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mpFYxQAAANsAAAAPAAAAAAAAAAAAAAAAAJgCAABkcnMv&#10;ZG93bnJldi54bWxQSwUGAAAAAAQABAD1AAAAigM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hyt8QA&#10;AADbAAAADwAAAGRycy9kb3ducmV2LnhtbESPS2vDMBCE74X+B7GFXkoipwfXOJFDKbjtNS9Cbhtr&#10;/SDWyrVU2/33USDQ4zAz3zCr9WRaMVDvGssKFvMIBHFhdcOVgv0unyUgnEfW2FomBX/kYJ09Pqww&#10;1XbkDQ1bX4kAYZeigtr7LpXSFTUZdHPbEQevtL1BH2RfSd3jGOCmla9RFEuDDYeFGjv6qKm4bH+N&#10;gsSdxrcd/nwOXpaL5uV8yI9fuVLPT9P7EoSnyf+H7+1vrSCO4fYl/AC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4crfEAAAA2wAAAA8AAAAAAAAAAAAAAAAAmAIAAGRycy9k&#10;b3ducmV2LnhtbFBLBQYAAAAABAAEAPUAAACJAw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IN4cMA&#10;AADbAAAADwAAAGRycy9kb3ducmV2LnhtbESPwWoCMRCG7wXfIYzgrWYV2dbVKKJUpNCDttDruJlu&#10;lm4mS5K669s3guBx+Of/5pvlureNuJAPtWMFk3EGgrh0uuZKwdfn2/MriBCRNTaOScGVAqxXg6cl&#10;Ftp1fKTLKVYiQTgUqMDE2BZShtKQxTB2LXHKfpy3GNPoK6k9dgluGznNslxarDldMNjS1lD5e/qz&#10;SeN7utvPjDwnqzz7OO7n/r2bKzUa9psFiEh9fCzf2wetIH+B2y8JAH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IN4cMAAADbAAAADwAAAAAAAAAAAAAAAACYAgAAZHJzL2Rv&#10;d25yZXYueG1sUEsFBgAAAAAEAAQA9QAAAIgD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1D57sA&#10;AADbAAAADwAAAGRycy9kb3ducmV2LnhtbERPSwrCMBDdC94hjOBOU12UUo2lCIIu/RxgaKZtsJmU&#10;Jmr19GYhuHy8/7YYbSeeNHjjWMFqmYAgrpw23Ci4XQ+LDIQPyBo7x6TgTR6K3XSyxVy7F5/peQmN&#10;iCHsc1TQhtDnUvqqJYt+6XriyNVusBgiHBqpB3zFcNvJdZKk0qLh2NBiT/uWqvvlYRUkZn3qzmlt&#10;tKyz+82csmP5qZSaz8ZyAyLQGP7in/uoFaRxbPwSf4D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H9Q+e7AAAA2wAAAA8AAAAAAAAAAAAAAAAAmAIAAGRycy9kb3ducmV2Lnht&#10;bFBLBQYAAAAABAAEAPUAAACAAwAAAAA=&#10;" path="m,2732r,-4l2722,r5,5l,2732xe" filled="f" stroked="f">
                      <v:path arrowok="t" o:connecttype="custom" o:connectlocs="0,4337050;0,4330700;4321175,0;4329113,7938;0,433705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0A51F55B" wp14:editId="053E5B82">
                    <wp:simplePos x="0" y="0"/>
                    <wp:positionH relativeFrom="page">
                      <wp:align>center</wp:align>
                    </wp:positionH>
                    <wp:positionV relativeFrom="margin">
                      <wp:align>bottom</wp:align>
                    </wp:positionV>
                    <wp:extent cx="5783580" cy="285115"/>
                    <wp:effectExtent l="0" t="0" r="0" b="2540"/>
                    <wp:wrapNone/>
                    <wp:docPr id="69" name="Text Box 69"/>
                    <wp:cNvGraphicFramePr/>
                    <a:graphic xmlns:a="http://schemas.openxmlformats.org/drawingml/2006/main">
                      <a:graphicData uri="http://schemas.microsoft.com/office/word/2010/wordprocessingShape">
                        <wps:wsp>
                          <wps:cNvSpPr txBox="1"/>
                          <wps:spPr>
                            <a:xfrm>
                              <a:off x="0" y="0"/>
                              <a:ext cx="5783580" cy="285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2D4561" w14:textId="77777777" w:rsidR="002A3623" w:rsidRDefault="005F6F0A">
                                <w:pPr>
                                  <w:pStyle w:val="NoSpacing"/>
                                  <w:jc w:val="right"/>
                                  <w:rPr>
                                    <w:color w:val="4F81BD" w:themeColor="accent1"/>
                                    <w:sz w:val="36"/>
                                    <w:szCs w:val="36"/>
                                  </w:rPr>
                                </w:pPr>
                                <w:r>
                                  <w:rPr>
                                    <w:color w:val="4F81BD" w:themeColor="accent1"/>
                                    <w:sz w:val="36"/>
                                    <w:szCs w:val="36"/>
                                    <w:lang w:val="en-GB"/>
                                  </w:rPr>
                                  <w:t>SADC TFCA Network</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427462E8" id="Text Box 69" o:spid="_x0000_s1027" type="#_x0000_t202" style="position:absolute;margin-left:0;margin-top:0;width:455.4pt;height:22.45pt;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" filled="f" stroked="f" strokeweight=".5pt">
                    <v:textbox style="mso-fit-shape-to-text:t" inset="0,0,0,0">
                      <w:txbxContent>
                        <w:p w:rsidR="002A3623" w:rsidRDefault="005F6F0A">
                          <w:pPr>
                            <w:pStyle w:val="NoSpacing"/>
                            <w:jc w:val="right"/>
                            <w:rPr>
                              <w:color w:val="4F81BD" w:themeColor="accent1"/>
                              <w:sz w:val="36"/>
                              <w:szCs w:val="36"/>
                            </w:rPr>
                          </w:pPr>
                          <w:r>
                            <w:rPr>
                              <w:color w:val="4F81BD" w:themeColor="accent1"/>
                              <w:sz w:val="36"/>
                              <w:szCs w:val="36"/>
                              <w:lang w:val="en-GB"/>
                            </w:rPr>
                            <w:t>SADC TFCA Network</w:t>
                          </w:r>
                        </w:p>
                      </w:txbxContent>
                    </v:textbox>
                    <w10:wrap anchorx="page" anchory="margin"/>
                  </v:shape>
                </w:pict>
              </mc:Fallback>
            </mc:AlternateContent>
          </w:r>
        </w:p>
        <w:p w14:paraId="3C4ACBA1" w14:textId="77777777" w:rsidR="002A3623" w:rsidRDefault="002A3623">
          <w:r>
            <w:br w:type="page"/>
          </w:r>
        </w:p>
      </w:sdtContent>
    </w:sdt>
    <w:p w14:paraId="1C72C398" w14:textId="77777777" w:rsidR="00797D65" w:rsidRDefault="00983835">
      <w:pPr>
        <w:rPr>
          <w:rStyle w:val="IntenseReference"/>
        </w:rPr>
      </w:pPr>
      <w:r>
        <w:rPr>
          <w:rStyle w:val="IntenseReference"/>
        </w:rPr>
        <w:lastRenderedPageBreak/>
        <w:t>List of Acronyms</w:t>
      </w:r>
    </w:p>
    <w:p w14:paraId="7F6C9F3E" w14:textId="05261440" w:rsidR="006472A5" w:rsidRPr="006472A5" w:rsidRDefault="006472A5">
      <w:pPr>
        <w:rPr>
          <w:rStyle w:val="IntenseEmphasis"/>
        </w:rPr>
      </w:pPr>
      <w:r w:rsidRPr="006472A5">
        <w:rPr>
          <w:rStyle w:val="IntenseEmphasis"/>
        </w:rPr>
        <w:t>Core Acronyms</w:t>
      </w:r>
    </w:p>
    <w:tbl>
      <w:tblPr>
        <w:tblStyle w:val="TableGrid"/>
        <w:tblW w:w="0" w:type="auto"/>
        <w:tblLook w:val="04A0" w:firstRow="1" w:lastRow="0" w:firstColumn="1" w:lastColumn="0" w:noHBand="0" w:noVBand="1"/>
      </w:tblPr>
      <w:tblGrid>
        <w:gridCol w:w="594"/>
        <w:gridCol w:w="1094"/>
        <w:gridCol w:w="7554"/>
      </w:tblGrid>
      <w:tr w:rsidR="006472A5" w:rsidRPr="006472A5" w14:paraId="023B4E06" w14:textId="240ED849" w:rsidTr="00B4295E">
        <w:tc>
          <w:tcPr>
            <w:tcW w:w="1688" w:type="dxa"/>
            <w:gridSpan w:val="2"/>
          </w:tcPr>
          <w:p w14:paraId="21FD01D0" w14:textId="77777777" w:rsidR="006472A5" w:rsidRPr="006472A5" w:rsidRDefault="006472A5" w:rsidP="00A132B5">
            <w:pPr>
              <w:pStyle w:val="ListParagraph"/>
              <w:ind w:left="0"/>
            </w:pPr>
            <w:r w:rsidRPr="006472A5">
              <w:t>CoE</w:t>
            </w:r>
          </w:p>
        </w:tc>
        <w:tc>
          <w:tcPr>
            <w:tcW w:w="7554" w:type="dxa"/>
          </w:tcPr>
          <w:p w14:paraId="688C3BEA" w14:textId="7B680BBC" w:rsidR="006472A5" w:rsidRPr="006472A5" w:rsidRDefault="006472A5" w:rsidP="00A132B5">
            <w:pPr>
              <w:pStyle w:val="ListParagraph"/>
              <w:ind w:left="0"/>
            </w:pPr>
            <w:r>
              <w:t>Centre of Excellence</w:t>
            </w:r>
          </w:p>
        </w:tc>
      </w:tr>
      <w:tr w:rsidR="006472A5" w:rsidRPr="006472A5" w14:paraId="3123587D" w14:textId="66E36037" w:rsidTr="00B4295E">
        <w:tc>
          <w:tcPr>
            <w:tcW w:w="1688" w:type="dxa"/>
            <w:gridSpan w:val="2"/>
          </w:tcPr>
          <w:p w14:paraId="382CFE44" w14:textId="77777777" w:rsidR="006472A5" w:rsidRPr="006472A5" w:rsidRDefault="006472A5" w:rsidP="00A132B5">
            <w:pPr>
              <w:pStyle w:val="ListParagraph"/>
              <w:ind w:left="0"/>
            </w:pPr>
            <w:r w:rsidRPr="006472A5">
              <w:t>CoP</w:t>
            </w:r>
          </w:p>
        </w:tc>
        <w:tc>
          <w:tcPr>
            <w:tcW w:w="7554" w:type="dxa"/>
          </w:tcPr>
          <w:p w14:paraId="3BEF0083" w14:textId="61972B7F" w:rsidR="006472A5" w:rsidRPr="006472A5" w:rsidRDefault="006472A5" w:rsidP="00A132B5">
            <w:pPr>
              <w:pStyle w:val="ListParagraph"/>
              <w:ind w:left="0"/>
            </w:pPr>
            <w:r>
              <w:t>Community of Practice</w:t>
            </w:r>
          </w:p>
        </w:tc>
      </w:tr>
      <w:tr w:rsidR="006472A5" w:rsidRPr="006472A5" w14:paraId="7D6E0C5B" w14:textId="68A7EB90" w:rsidTr="00B4295E">
        <w:tc>
          <w:tcPr>
            <w:tcW w:w="1688" w:type="dxa"/>
            <w:gridSpan w:val="2"/>
          </w:tcPr>
          <w:p w14:paraId="40EA73EC" w14:textId="77777777" w:rsidR="006472A5" w:rsidRPr="006472A5" w:rsidRDefault="006472A5" w:rsidP="00A132B5">
            <w:pPr>
              <w:pStyle w:val="ListParagraph"/>
              <w:ind w:left="0"/>
            </w:pPr>
            <w:r w:rsidRPr="006472A5">
              <w:t>DHET</w:t>
            </w:r>
          </w:p>
        </w:tc>
        <w:tc>
          <w:tcPr>
            <w:tcW w:w="7554" w:type="dxa"/>
          </w:tcPr>
          <w:p w14:paraId="0D04EDAD" w14:textId="57AB4E71" w:rsidR="006472A5" w:rsidRPr="006472A5" w:rsidRDefault="006472A5" w:rsidP="00A132B5">
            <w:pPr>
              <w:pStyle w:val="ListParagraph"/>
              <w:ind w:left="0"/>
            </w:pPr>
            <w:r>
              <w:t>Department of Higher Education and Training (Government of South Africa)</w:t>
            </w:r>
          </w:p>
        </w:tc>
      </w:tr>
      <w:tr w:rsidR="006472A5" w:rsidRPr="006472A5" w14:paraId="176D1154" w14:textId="111EAAB7" w:rsidTr="00B4295E">
        <w:tc>
          <w:tcPr>
            <w:tcW w:w="1688" w:type="dxa"/>
            <w:gridSpan w:val="2"/>
          </w:tcPr>
          <w:p w14:paraId="01DD0748" w14:textId="77777777" w:rsidR="006472A5" w:rsidRPr="006472A5" w:rsidRDefault="006472A5" w:rsidP="00A132B5">
            <w:pPr>
              <w:pStyle w:val="ListParagraph"/>
              <w:ind w:left="0"/>
            </w:pPr>
            <w:r w:rsidRPr="006472A5">
              <w:t>DSHDs</w:t>
            </w:r>
          </w:p>
        </w:tc>
        <w:tc>
          <w:tcPr>
            <w:tcW w:w="7554" w:type="dxa"/>
          </w:tcPr>
          <w:p w14:paraId="6087F00B" w14:textId="61ED20FC" w:rsidR="006472A5" w:rsidRPr="006472A5" w:rsidRDefault="006472A5" w:rsidP="00A132B5">
            <w:pPr>
              <w:pStyle w:val="ListParagraph"/>
              <w:ind w:left="0"/>
            </w:pPr>
            <w:r>
              <w:t>Directorate of Social and Human Dimensions (SADC)</w:t>
            </w:r>
          </w:p>
        </w:tc>
      </w:tr>
      <w:tr w:rsidR="006472A5" w:rsidRPr="006472A5" w14:paraId="58EFD857" w14:textId="79B7333B" w:rsidTr="00B4295E">
        <w:tc>
          <w:tcPr>
            <w:tcW w:w="1688" w:type="dxa"/>
            <w:gridSpan w:val="2"/>
          </w:tcPr>
          <w:p w14:paraId="629A6A60" w14:textId="77777777" w:rsidR="006472A5" w:rsidRPr="006472A5" w:rsidRDefault="006472A5" w:rsidP="00A132B5">
            <w:pPr>
              <w:pStyle w:val="ListParagraph"/>
              <w:ind w:left="0"/>
            </w:pPr>
            <w:r w:rsidRPr="006472A5">
              <w:t>GIZ</w:t>
            </w:r>
          </w:p>
        </w:tc>
        <w:tc>
          <w:tcPr>
            <w:tcW w:w="7554" w:type="dxa"/>
          </w:tcPr>
          <w:p w14:paraId="04354637" w14:textId="6371B5B8" w:rsidR="006472A5" w:rsidRPr="00B4295E" w:rsidRDefault="00B4295E" w:rsidP="00B4295E">
            <w:pPr>
              <w:rPr>
                <w:rFonts w:ascii="Times New Roman" w:eastAsia="Times New Roman" w:hAnsi="Times New Roman" w:cs="Times New Roman"/>
                <w:sz w:val="24"/>
                <w:szCs w:val="24"/>
                <w:lang w:val="en-GB" w:eastAsia="en-GB"/>
              </w:rPr>
            </w:pPr>
            <w:r w:rsidRPr="00B4295E">
              <w:rPr>
                <w:rFonts w:ascii="Arial" w:eastAsia="Times New Roman" w:hAnsi="Arial" w:cs="Arial"/>
                <w:color w:val="222222"/>
                <w:sz w:val="20"/>
                <w:szCs w:val="20"/>
                <w:shd w:val="clear" w:color="auto" w:fill="FFFFFF"/>
                <w:lang w:val="en-GB" w:eastAsia="en-GB"/>
              </w:rPr>
              <w:t>The Deutsche Gesellschaft für Internationale Zusammenarbeit</w:t>
            </w:r>
          </w:p>
        </w:tc>
      </w:tr>
      <w:tr w:rsidR="006472A5" w:rsidRPr="006472A5" w14:paraId="5978DC2A" w14:textId="0AD34F20" w:rsidTr="00B4295E">
        <w:tc>
          <w:tcPr>
            <w:tcW w:w="1688" w:type="dxa"/>
            <w:gridSpan w:val="2"/>
          </w:tcPr>
          <w:p w14:paraId="044B57ED" w14:textId="77777777" w:rsidR="006472A5" w:rsidRPr="006472A5" w:rsidRDefault="006472A5" w:rsidP="00A132B5">
            <w:pPr>
              <w:pStyle w:val="ListParagraph"/>
              <w:ind w:left="0"/>
            </w:pPr>
            <w:r w:rsidRPr="006472A5">
              <w:t xml:space="preserve">GLTFCA </w:t>
            </w:r>
          </w:p>
        </w:tc>
        <w:tc>
          <w:tcPr>
            <w:tcW w:w="7554" w:type="dxa"/>
          </w:tcPr>
          <w:p w14:paraId="678F395E" w14:textId="1C552EE2" w:rsidR="006472A5" w:rsidRPr="006472A5" w:rsidRDefault="00B4295E" w:rsidP="00A132B5">
            <w:pPr>
              <w:pStyle w:val="ListParagraph"/>
              <w:ind w:left="0"/>
            </w:pPr>
            <w:r>
              <w:t>Great Limpopo Transfrontier Conservation Area</w:t>
            </w:r>
          </w:p>
        </w:tc>
      </w:tr>
      <w:tr w:rsidR="006472A5" w:rsidRPr="006472A5" w14:paraId="670A5B4B" w14:textId="7C98B492" w:rsidTr="00B4295E">
        <w:tc>
          <w:tcPr>
            <w:tcW w:w="1688" w:type="dxa"/>
            <w:gridSpan w:val="2"/>
          </w:tcPr>
          <w:p w14:paraId="0CA31286" w14:textId="77777777" w:rsidR="006472A5" w:rsidRPr="006472A5" w:rsidRDefault="006472A5" w:rsidP="00A132B5">
            <w:pPr>
              <w:pStyle w:val="ListParagraph"/>
              <w:ind w:left="0"/>
            </w:pPr>
            <w:r w:rsidRPr="006472A5">
              <w:t>ICPs</w:t>
            </w:r>
          </w:p>
        </w:tc>
        <w:tc>
          <w:tcPr>
            <w:tcW w:w="7554" w:type="dxa"/>
          </w:tcPr>
          <w:p w14:paraId="095434B0" w14:textId="0AF4622E" w:rsidR="006472A5" w:rsidRPr="006472A5" w:rsidRDefault="00B4295E" w:rsidP="00A132B5">
            <w:pPr>
              <w:pStyle w:val="ListParagraph"/>
              <w:ind w:left="0"/>
            </w:pPr>
            <w:r>
              <w:t>International Cooperating Partners</w:t>
            </w:r>
          </w:p>
        </w:tc>
      </w:tr>
      <w:tr w:rsidR="006472A5" w:rsidRPr="006472A5" w14:paraId="7CFD0CF0" w14:textId="7E75E9EC" w:rsidTr="00B4295E">
        <w:tc>
          <w:tcPr>
            <w:tcW w:w="1688" w:type="dxa"/>
            <w:gridSpan w:val="2"/>
          </w:tcPr>
          <w:p w14:paraId="135D4A6E" w14:textId="77777777" w:rsidR="006472A5" w:rsidRPr="006472A5" w:rsidRDefault="006472A5" w:rsidP="00A132B5">
            <w:pPr>
              <w:pStyle w:val="ListParagraph"/>
              <w:ind w:left="0"/>
            </w:pPr>
            <w:r w:rsidRPr="006472A5">
              <w:t>IFAW</w:t>
            </w:r>
          </w:p>
        </w:tc>
        <w:tc>
          <w:tcPr>
            <w:tcW w:w="7554" w:type="dxa"/>
          </w:tcPr>
          <w:p w14:paraId="0C9C0676" w14:textId="5C673C86" w:rsidR="006472A5" w:rsidRPr="006472A5" w:rsidRDefault="00B4295E" w:rsidP="00A132B5">
            <w:pPr>
              <w:pStyle w:val="ListParagraph"/>
              <w:ind w:left="0"/>
            </w:pPr>
            <w:r>
              <w:t>International Fund for Animal Welfare</w:t>
            </w:r>
          </w:p>
        </w:tc>
      </w:tr>
      <w:tr w:rsidR="006472A5" w:rsidRPr="006472A5" w14:paraId="31CDF4C7" w14:textId="1AE4579A" w:rsidTr="00B4295E">
        <w:tc>
          <w:tcPr>
            <w:tcW w:w="1688" w:type="dxa"/>
            <w:gridSpan w:val="2"/>
          </w:tcPr>
          <w:p w14:paraId="5631065D" w14:textId="77777777" w:rsidR="006472A5" w:rsidRPr="006472A5" w:rsidRDefault="006472A5" w:rsidP="00A132B5">
            <w:pPr>
              <w:pStyle w:val="ListParagraph"/>
              <w:ind w:left="0"/>
            </w:pPr>
            <w:r w:rsidRPr="006472A5">
              <w:t>IUCN</w:t>
            </w:r>
          </w:p>
        </w:tc>
        <w:tc>
          <w:tcPr>
            <w:tcW w:w="7554" w:type="dxa"/>
          </w:tcPr>
          <w:p w14:paraId="45016F62" w14:textId="4A73F79E" w:rsidR="006472A5" w:rsidRPr="006472A5" w:rsidRDefault="00B4295E" w:rsidP="00A132B5">
            <w:pPr>
              <w:pStyle w:val="ListParagraph"/>
              <w:ind w:left="0"/>
            </w:pPr>
            <w:r>
              <w:t>International Union for the Conservation of Nature</w:t>
            </w:r>
          </w:p>
        </w:tc>
      </w:tr>
      <w:tr w:rsidR="00B4295E" w:rsidRPr="006472A5" w14:paraId="024961A8" w14:textId="631AE488" w:rsidTr="00B4295E">
        <w:tc>
          <w:tcPr>
            <w:tcW w:w="594" w:type="dxa"/>
          </w:tcPr>
          <w:p w14:paraId="45B27124" w14:textId="6D1EB5EF" w:rsidR="00B4295E" w:rsidRPr="006472A5" w:rsidRDefault="00B4295E" w:rsidP="00A132B5">
            <w:pPr>
              <w:pStyle w:val="ListParagraph"/>
              <w:ind w:left="0"/>
            </w:pPr>
          </w:p>
        </w:tc>
        <w:tc>
          <w:tcPr>
            <w:tcW w:w="1094" w:type="dxa"/>
          </w:tcPr>
          <w:p w14:paraId="45344BB6" w14:textId="4E369014" w:rsidR="00B4295E" w:rsidRPr="006472A5" w:rsidRDefault="00B4295E" w:rsidP="00A132B5">
            <w:pPr>
              <w:pStyle w:val="ListParagraph"/>
              <w:ind w:left="0"/>
            </w:pPr>
            <w:r w:rsidRPr="006472A5">
              <w:t>BIOPAMA</w:t>
            </w:r>
          </w:p>
        </w:tc>
        <w:tc>
          <w:tcPr>
            <w:tcW w:w="7554" w:type="dxa"/>
          </w:tcPr>
          <w:p w14:paraId="19BE1EC2" w14:textId="5DEF4FDF" w:rsidR="00B4295E" w:rsidRPr="006472A5" w:rsidRDefault="00B4295E" w:rsidP="00A132B5">
            <w:pPr>
              <w:pStyle w:val="ListParagraph"/>
              <w:ind w:left="0"/>
            </w:pPr>
            <w:r>
              <w:t>Biodiversity and Protected Areas Management Programme</w:t>
            </w:r>
          </w:p>
        </w:tc>
      </w:tr>
      <w:tr w:rsidR="006472A5" w:rsidRPr="006472A5" w14:paraId="703CE04D" w14:textId="2DAEBACA" w:rsidTr="00B4295E">
        <w:tc>
          <w:tcPr>
            <w:tcW w:w="1688" w:type="dxa"/>
            <w:gridSpan w:val="2"/>
          </w:tcPr>
          <w:p w14:paraId="54342A05" w14:textId="77777777" w:rsidR="006472A5" w:rsidRPr="006472A5" w:rsidRDefault="006472A5" w:rsidP="00A132B5">
            <w:pPr>
              <w:pStyle w:val="ListParagraph"/>
              <w:ind w:left="0"/>
            </w:pPr>
            <w:r w:rsidRPr="006472A5">
              <w:t>K2C</w:t>
            </w:r>
          </w:p>
        </w:tc>
        <w:tc>
          <w:tcPr>
            <w:tcW w:w="7554" w:type="dxa"/>
          </w:tcPr>
          <w:p w14:paraId="2340A7B5" w14:textId="1E422BA8" w:rsidR="006472A5" w:rsidRPr="006472A5" w:rsidRDefault="00B4295E" w:rsidP="00A132B5">
            <w:pPr>
              <w:pStyle w:val="ListParagraph"/>
              <w:ind w:left="0"/>
            </w:pPr>
            <w:r>
              <w:t>Kruger to Canyon Initiative</w:t>
            </w:r>
          </w:p>
        </w:tc>
      </w:tr>
      <w:tr w:rsidR="006472A5" w:rsidRPr="006472A5" w14:paraId="46A0295F" w14:textId="026E99CF" w:rsidTr="00B4295E">
        <w:tc>
          <w:tcPr>
            <w:tcW w:w="1688" w:type="dxa"/>
            <w:gridSpan w:val="2"/>
          </w:tcPr>
          <w:p w14:paraId="6A75DCB0" w14:textId="77777777" w:rsidR="006472A5" w:rsidRPr="006472A5" w:rsidRDefault="006472A5" w:rsidP="00A132B5">
            <w:pPr>
              <w:pStyle w:val="ListParagraph"/>
              <w:ind w:left="0"/>
            </w:pPr>
            <w:r w:rsidRPr="006472A5">
              <w:t>KfW</w:t>
            </w:r>
          </w:p>
        </w:tc>
        <w:tc>
          <w:tcPr>
            <w:tcW w:w="7554" w:type="dxa"/>
          </w:tcPr>
          <w:p w14:paraId="680F3F83" w14:textId="1683572E" w:rsidR="006472A5" w:rsidRPr="00B4295E" w:rsidRDefault="00B4295E" w:rsidP="00B4295E">
            <w:pPr>
              <w:rPr>
                <w:rFonts w:ascii="Times New Roman" w:eastAsia="Times New Roman" w:hAnsi="Times New Roman" w:cs="Times New Roman"/>
                <w:sz w:val="24"/>
                <w:szCs w:val="24"/>
                <w:lang w:val="en-GB" w:eastAsia="en-GB"/>
              </w:rPr>
            </w:pPr>
            <w:r w:rsidRPr="00B4295E">
              <w:rPr>
                <w:rFonts w:ascii="Arial" w:eastAsia="Times New Roman" w:hAnsi="Arial" w:cs="Arial"/>
                <w:color w:val="222222"/>
                <w:sz w:val="20"/>
                <w:szCs w:val="20"/>
                <w:shd w:val="clear" w:color="auto" w:fill="FFFFFF"/>
                <w:lang w:val="en-GB" w:eastAsia="en-GB"/>
              </w:rPr>
              <w:t>Kreditanstalt für Wiederaufbau</w:t>
            </w:r>
            <w:r>
              <w:rPr>
                <w:rFonts w:ascii="Arial" w:eastAsia="Times New Roman" w:hAnsi="Arial" w:cs="Arial"/>
                <w:color w:val="222222"/>
                <w:sz w:val="20"/>
                <w:szCs w:val="20"/>
                <w:shd w:val="clear" w:color="auto" w:fill="FFFFFF"/>
                <w:lang w:val="en-GB" w:eastAsia="en-GB"/>
              </w:rPr>
              <w:t xml:space="preserve"> (German Development Bank)</w:t>
            </w:r>
          </w:p>
        </w:tc>
      </w:tr>
      <w:tr w:rsidR="006472A5" w:rsidRPr="006472A5" w14:paraId="4522FBDF" w14:textId="2C046FF7" w:rsidTr="00B4295E">
        <w:tc>
          <w:tcPr>
            <w:tcW w:w="1688" w:type="dxa"/>
            <w:gridSpan w:val="2"/>
          </w:tcPr>
          <w:p w14:paraId="09600EC3" w14:textId="77777777" w:rsidR="006472A5" w:rsidRPr="006472A5" w:rsidRDefault="006472A5" w:rsidP="00A132B5">
            <w:pPr>
              <w:pStyle w:val="ListParagraph"/>
              <w:ind w:left="0"/>
            </w:pPr>
            <w:r w:rsidRPr="006472A5">
              <w:t>MOU</w:t>
            </w:r>
          </w:p>
        </w:tc>
        <w:tc>
          <w:tcPr>
            <w:tcW w:w="7554" w:type="dxa"/>
          </w:tcPr>
          <w:p w14:paraId="41482C60" w14:textId="47B4470B" w:rsidR="006472A5" w:rsidRPr="006472A5" w:rsidRDefault="00B4295E" w:rsidP="00A132B5">
            <w:pPr>
              <w:pStyle w:val="ListParagraph"/>
              <w:ind w:left="0"/>
            </w:pPr>
            <w:r>
              <w:t>Memorandum of Understanding</w:t>
            </w:r>
          </w:p>
        </w:tc>
      </w:tr>
      <w:tr w:rsidR="006472A5" w:rsidRPr="006472A5" w14:paraId="3ACE98E0" w14:textId="08DB29F5" w:rsidTr="00B4295E">
        <w:tc>
          <w:tcPr>
            <w:tcW w:w="1688" w:type="dxa"/>
            <w:gridSpan w:val="2"/>
          </w:tcPr>
          <w:p w14:paraId="6A257A38" w14:textId="77777777" w:rsidR="006472A5" w:rsidRPr="006472A5" w:rsidRDefault="006472A5" w:rsidP="00A132B5">
            <w:pPr>
              <w:pStyle w:val="ListParagraph"/>
              <w:ind w:left="0"/>
            </w:pPr>
            <w:r w:rsidRPr="006472A5">
              <w:t>PPF</w:t>
            </w:r>
          </w:p>
        </w:tc>
        <w:tc>
          <w:tcPr>
            <w:tcW w:w="7554" w:type="dxa"/>
          </w:tcPr>
          <w:p w14:paraId="5AE54FA1" w14:textId="6A1647D6" w:rsidR="006472A5" w:rsidRPr="006472A5" w:rsidRDefault="00B4295E" w:rsidP="00A132B5">
            <w:pPr>
              <w:pStyle w:val="ListParagraph"/>
              <w:ind w:left="0"/>
            </w:pPr>
            <w:r>
              <w:t>Peace Parks Foundation</w:t>
            </w:r>
          </w:p>
        </w:tc>
      </w:tr>
      <w:tr w:rsidR="006472A5" w:rsidRPr="006472A5" w14:paraId="453C84DF" w14:textId="0FB98169" w:rsidTr="00B4295E">
        <w:tc>
          <w:tcPr>
            <w:tcW w:w="1688" w:type="dxa"/>
            <w:gridSpan w:val="2"/>
          </w:tcPr>
          <w:p w14:paraId="662C1C09" w14:textId="77777777" w:rsidR="006472A5" w:rsidRPr="006472A5" w:rsidRDefault="006472A5" w:rsidP="00A132B5">
            <w:pPr>
              <w:pStyle w:val="ListParagraph"/>
              <w:ind w:left="0"/>
            </w:pPr>
            <w:r w:rsidRPr="006472A5">
              <w:t>SADC</w:t>
            </w:r>
          </w:p>
        </w:tc>
        <w:tc>
          <w:tcPr>
            <w:tcW w:w="7554" w:type="dxa"/>
          </w:tcPr>
          <w:p w14:paraId="5AA65DDA" w14:textId="6C0A38DE" w:rsidR="006472A5" w:rsidRPr="006472A5" w:rsidRDefault="00B4295E" w:rsidP="00A132B5">
            <w:pPr>
              <w:pStyle w:val="ListParagraph"/>
              <w:ind w:left="0"/>
            </w:pPr>
            <w:r>
              <w:t>Southern Africa Development Community</w:t>
            </w:r>
          </w:p>
        </w:tc>
      </w:tr>
      <w:tr w:rsidR="006472A5" w:rsidRPr="006472A5" w14:paraId="60F75EC0" w14:textId="3B6B63B0" w:rsidTr="00B4295E">
        <w:tc>
          <w:tcPr>
            <w:tcW w:w="1688" w:type="dxa"/>
            <w:gridSpan w:val="2"/>
          </w:tcPr>
          <w:p w14:paraId="3DC245AA" w14:textId="77777777" w:rsidR="006472A5" w:rsidRPr="006472A5" w:rsidRDefault="006472A5" w:rsidP="00A132B5">
            <w:pPr>
              <w:pStyle w:val="ListParagraph"/>
              <w:ind w:left="0"/>
            </w:pPr>
            <w:r w:rsidRPr="006472A5">
              <w:t>SARUA</w:t>
            </w:r>
          </w:p>
        </w:tc>
        <w:tc>
          <w:tcPr>
            <w:tcW w:w="7554" w:type="dxa"/>
          </w:tcPr>
          <w:p w14:paraId="21DC3B92" w14:textId="1589B22F" w:rsidR="006472A5" w:rsidRPr="00B4295E" w:rsidRDefault="00B4295E" w:rsidP="00B4295E">
            <w:pPr>
              <w:pStyle w:val="FootnoteText"/>
              <w:rPr>
                <w:sz w:val="22"/>
                <w:szCs w:val="22"/>
                <w:lang w:val="en-GB"/>
              </w:rPr>
            </w:pPr>
            <w:r w:rsidRPr="00B4295E">
              <w:rPr>
                <w:sz w:val="22"/>
                <w:szCs w:val="22"/>
                <w:lang w:val="en-GB"/>
              </w:rPr>
              <w:t>South African Research and Universities Association</w:t>
            </w:r>
          </w:p>
        </w:tc>
      </w:tr>
      <w:tr w:rsidR="006472A5" w:rsidRPr="006472A5" w14:paraId="0F0A3A89" w14:textId="18E60158" w:rsidTr="00B4295E">
        <w:tc>
          <w:tcPr>
            <w:tcW w:w="1688" w:type="dxa"/>
            <w:gridSpan w:val="2"/>
          </w:tcPr>
          <w:p w14:paraId="0CFADD58" w14:textId="77777777" w:rsidR="006472A5" w:rsidRPr="006472A5" w:rsidRDefault="006472A5" w:rsidP="00A132B5">
            <w:pPr>
              <w:pStyle w:val="ListParagraph"/>
              <w:ind w:left="0"/>
            </w:pPr>
            <w:r w:rsidRPr="006472A5">
              <w:t>SAWC</w:t>
            </w:r>
          </w:p>
        </w:tc>
        <w:tc>
          <w:tcPr>
            <w:tcW w:w="7554" w:type="dxa"/>
          </w:tcPr>
          <w:p w14:paraId="4ACE5460" w14:textId="6F10D348" w:rsidR="006472A5" w:rsidRPr="006472A5" w:rsidRDefault="00B4295E" w:rsidP="00A132B5">
            <w:pPr>
              <w:pStyle w:val="ListParagraph"/>
              <w:ind w:left="0"/>
            </w:pPr>
            <w:r>
              <w:t>Southern African Wildlife College</w:t>
            </w:r>
          </w:p>
        </w:tc>
      </w:tr>
      <w:tr w:rsidR="006472A5" w:rsidRPr="006472A5" w14:paraId="54E29F23" w14:textId="51CEE3C3" w:rsidTr="00B4295E">
        <w:tc>
          <w:tcPr>
            <w:tcW w:w="1688" w:type="dxa"/>
            <w:gridSpan w:val="2"/>
          </w:tcPr>
          <w:p w14:paraId="7A1A0FF2" w14:textId="77777777" w:rsidR="006472A5" w:rsidRPr="006472A5" w:rsidRDefault="006472A5" w:rsidP="00A132B5">
            <w:pPr>
              <w:pStyle w:val="ListParagraph"/>
              <w:ind w:left="0"/>
            </w:pPr>
            <w:r w:rsidRPr="006472A5">
              <w:t>TFCA</w:t>
            </w:r>
          </w:p>
        </w:tc>
        <w:tc>
          <w:tcPr>
            <w:tcW w:w="7554" w:type="dxa"/>
          </w:tcPr>
          <w:p w14:paraId="090491ED" w14:textId="2298407E" w:rsidR="006472A5" w:rsidRPr="006472A5" w:rsidRDefault="00B4295E" w:rsidP="00A132B5">
            <w:pPr>
              <w:pStyle w:val="ListParagraph"/>
              <w:ind w:left="0"/>
            </w:pPr>
            <w:r>
              <w:t>Transfrontier Conservation Area</w:t>
            </w:r>
          </w:p>
        </w:tc>
      </w:tr>
      <w:tr w:rsidR="006472A5" w:rsidRPr="006472A5" w14:paraId="3A67FC4A" w14:textId="0F5EDBA9" w:rsidTr="00B4295E">
        <w:tc>
          <w:tcPr>
            <w:tcW w:w="1688" w:type="dxa"/>
            <w:gridSpan w:val="2"/>
          </w:tcPr>
          <w:p w14:paraId="14FFF508" w14:textId="77777777" w:rsidR="006472A5" w:rsidRPr="006472A5" w:rsidRDefault="006472A5" w:rsidP="00A132B5">
            <w:pPr>
              <w:pStyle w:val="ListParagraph"/>
              <w:ind w:left="0"/>
            </w:pPr>
            <w:r w:rsidRPr="006472A5">
              <w:t>ToR</w:t>
            </w:r>
          </w:p>
        </w:tc>
        <w:tc>
          <w:tcPr>
            <w:tcW w:w="7554" w:type="dxa"/>
          </w:tcPr>
          <w:p w14:paraId="451D9C77" w14:textId="45EEF4CB" w:rsidR="006472A5" w:rsidRPr="006472A5" w:rsidRDefault="00B4295E" w:rsidP="00A132B5">
            <w:pPr>
              <w:pStyle w:val="ListParagraph"/>
              <w:ind w:left="0"/>
            </w:pPr>
            <w:r>
              <w:t>Terms of Reference</w:t>
            </w:r>
          </w:p>
        </w:tc>
      </w:tr>
      <w:tr w:rsidR="006472A5" w:rsidRPr="006472A5" w14:paraId="1B0938BF" w14:textId="3F369E4A" w:rsidTr="00B4295E">
        <w:tc>
          <w:tcPr>
            <w:tcW w:w="1688" w:type="dxa"/>
            <w:gridSpan w:val="2"/>
          </w:tcPr>
          <w:p w14:paraId="457E582B" w14:textId="77777777" w:rsidR="006472A5" w:rsidRPr="006472A5" w:rsidRDefault="006472A5" w:rsidP="00A132B5">
            <w:pPr>
              <w:pStyle w:val="ListParagraph"/>
              <w:ind w:left="0"/>
            </w:pPr>
            <w:r w:rsidRPr="006472A5">
              <w:t>ZimParks</w:t>
            </w:r>
          </w:p>
        </w:tc>
        <w:tc>
          <w:tcPr>
            <w:tcW w:w="7554" w:type="dxa"/>
          </w:tcPr>
          <w:p w14:paraId="2D63590C" w14:textId="2D34ACFF" w:rsidR="006472A5" w:rsidRPr="006472A5" w:rsidRDefault="000275A0" w:rsidP="00A132B5">
            <w:pPr>
              <w:pStyle w:val="ListParagraph"/>
              <w:ind w:left="0"/>
            </w:pPr>
            <w:r>
              <w:t>Zimbabwe National Parks and Wildlife Management Authority</w:t>
            </w:r>
          </w:p>
        </w:tc>
      </w:tr>
    </w:tbl>
    <w:p w14:paraId="20E37F25" w14:textId="77777777" w:rsidR="006472A5" w:rsidRDefault="006472A5"/>
    <w:tbl>
      <w:tblPr>
        <w:tblStyle w:val="TableGrid"/>
        <w:tblW w:w="0" w:type="auto"/>
        <w:tblLook w:val="04A0" w:firstRow="1" w:lastRow="0" w:firstColumn="1" w:lastColumn="0" w:noHBand="0" w:noVBand="1"/>
      </w:tblPr>
      <w:tblGrid>
        <w:gridCol w:w="1244"/>
        <w:gridCol w:w="7998"/>
      </w:tblGrid>
      <w:tr w:rsidR="000275A0" w:rsidRPr="006472A5" w14:paraId="178407EB" w14:textId="77777777" w:rsidTr="000275A0">
        <w:tc>
          <w:tcPr>
            <w:tcW w:w="1244" w:type="dxa"/>
          </w:tcPr>
          <w:p w14:paraId="066184BF" w14:textId="77777777" w:rsidR="006472A5" w:rsidRPr="006472A5" w:rsidRDefault="006472A5" w:rsidP="00C364CD">
            <w:pPr>
              <w:pStyle w:val="ListParagraph"/>
              <w:ind w:left="0"/>
            </w:pPr>
            <w:r w:rsidRPr="006472A5">
              <w:t>CMS</w:t>
            </w:r>
          </w:p>
        </w:tc>
        <w:tc>
          <w:tcPr>
            <w:tcW w:w="7998" w:type="dxa"/>
          </w:tcPr>
          <w:p w14:paraId="662E4117" w14:textId="77777777" w:rsidR="006472A5" w:rsidRPr="006472A5" w:rsidRDefault="006472A5" w:rsidP="00C364CD">
            <w:pPr>
              <w:pStyle w:val="ListParagraph"/>
              <w:ind w:left="0"/>
            </w:pPr>
            <w:r>
              <w:t>Convention of Migratory Species</w:t>
            </w:r>
          </w:p>
        </w:tc>
      </w:tr>
      <w:tr w:rsidR="000275A0" w:rsidRPr="006472A5" w14:paraId="43632D75" w14:textId="77777777" w:rsidTr="000275A0">
        <w:tc>
          <w:tcPr>
            <w:tcW w:w="1244" w:type="dxa"/>
          </w:tcPr>
          <w:p w14:paraId="72B1BBCE" w14:textId="77777777" w:rsidR="006472A5" w:rsidRPr="006472A5" w:rsidRDefault="006472A5" w:rsidP="00C364CD">
            <w:pPr>
              <w:pStyle w:val="ListParagraph"/>
              <w:ind w:left="0"/>
            </w:pPr>
            <w:r w:rsidRPr="006472A5">
              <w:t>CWC</w:t>
            </w:r>
          </w:p>
        </w:tc>
        <w:tc>
          <w:tcPr>
            <w:tcW w:w="7998" w:type="dxa"/>
          </w:tcPr>
          <w:p w14:paraId="277EB7F0" w14:textId="4ED3AEFB" w:rsidR="006472A5" w:rsidRPr="006472A5" w:rsidRDefault="006472A5" w:rsidP="00C364CD">
            <w:pPr>
              <w:pStyle w:val="ListParagraph"/>
              <w:ind w:left="0"/>
            </w:pPr>
            <w:r>
              <w:t>Combating Wildlife Crime</w:t>
            </w:r>
          </w:p>
        </w:tc>
      </w:tr>
      <w:tr w:rsidR="000275A0" w:rsidRPr="006472A5" w14:paraId="7556643E" w14:textId="77777777" w:rsidTr="000275A0">
        <w:tc>
          <w:tcPr>
            <w:tcW w:w="1244" w:type="dxa"/>
          </w:tcPr>
          <w:p w14:paraId="3CE5D9BC" w14:textId="77777777" w:rsidR="006472A5" w:rsidRPr="006472A5" w:rsidRDefault="006472A5" w:rsidP="00C364CD">
            <w:pPr>
              <w:pStyle w:val="ListParagraph"/>
              <w:ind w:left="0"/>
            </w:pPr>
            <w:r w:rsidRPr="006472A5">
              <w:t>DEA</w:t>
            </w:r>
          </w:p>
        </w:tc>
        <w:tc>
          <w:tcPr>
            <w:tcW w:w="7998" w:type="dxa"/>
          </w:tcPr>
          <w:p w14:paraId="58DEC5C8" w14:textId="078C0C13" w:rsidR="006472A5" w:rsidRPr="006472A5" w:rsidRDefault="006472A5" w:rsidP="00C364CD">
            <w:pPr>
              <w:pStyle w:val="ListParagraph"/>
              <w:ind w:left="0"/>
            </w:pPr>
            <w:r>
              <w:t>Department of Environmental Affairs (Government of South Africa)</w:t>
            </w:r>
          </w:p>
        </w:tc>
      </w:tr>
      <w:tr w:rsidR="000275A0" w:rsidRPr="006472A5" w14:paraId="6C985590" w14:textId="77777777" w:rsidTr="000275A0">
        <w:tc>
          <w:tcPr>
            <w:tcW w:w="1244" w:type="dxa"/>
          </w:tcPr>
          <w:p w14:paraId="3E157441" w14:textId="77777777" w:rsidR="006472A5" w:rsidRPr="006472A5" w:rsidRDefault="006472A5" w:rsidP="00C364CD">
            <w:pPr>
              <w:pStyle w:val="ListParagraph"/>
              <w:ind w:left="0"/>
            </w:pPr>
            <w:r w:rsidRPr="006472A5">
              <w:t>FLOD</w:t>
            </w:r>
          </w:p>
        </w:tc>
        <w:tc>
          <w:tcPr>
            <w:tcW w:w="7998" w:type="dxa"/>
          </w:tcPr>
          <w:p w14:paraId="5819B096" w14:textId="2DC3C9F6" w:rsidR="006472A5" w:rsidRPr="006472A5" w:rsidRDefault="006472A5" w:rsidP="00C364CD">
            <w:pPr>
              <w:pStyle w:val="ListParagraph"/>
              <w:ind w:left="0"/>
            </w:pPr>
            <w:r>
              <w:t>First Line of Defence (methodology)</w:t>
            </w:r>
          </w:p>
        </w:tc>
      </w:tr>
      <w:tr w:rsidR="000275A0" w:rsidRPr="006472A5" w14:paraId="2F2807E6" w14:textId="77777777" w:rsidTr="000275A0">
        <w:tc>
          <w:tcPr>
            <w:tcW w:w="1244" w:type="dxa"/>
          </w:tcPr>
          <w:p w14:paraId="2B1764CF" w14:textId="77777777" w:rsidR="006472A5" w:rsidRPr="006472A5" w:rsidRDefault="006472A5" w:rsidP="00C364CD">
            <w:pPr>
              <w:pStyle w:val="ListParagraph"/>
              <w:ind w:left="0"/>
            </w:pPr>
            <w:r w:rsidRPr="006472A5">
              <w:t>GEF</w:t>
            </w:r>
          </w:p>
        </w:tc>
        <w:tc>
          <w:tcPr>
            <w:tcW w:w="7998" w:type="dxa"/>
          </w:tcPr>
          <w:p w14:paraId="3B831777" w14:textId="4B27C02D" w:rsidR="006472A5" w:rsidRPr="006472A5" w:rsidRDefault="006472A5" w:rsidP="00C364CD">
            <w:pPr>
              <w:pStyle w:val="ListParagraph"/>
              <w:ind w:left="0"/>
            </w:pPr>
            <w:r>
              <w:t>Global Environmental Fund</w:t>
            </w:r>
          </w:p>
        </w:tc>
      </w:tr>
      <w:tr w:rsidR="000275A0" w:rsidRPr="006472A5" w14:paraId="3A19D474" w14:textId="77777777" w:rsidTr="000275A0">
        <w:tc>
          <w:tcPr>
            <w:tcW w:w="1244" w:type="dxa"/>
          </w:tcPr>
          <w:p w14:paraId="067C90AE" w14:textId="77777777" w:rsidR="00B4295E" w:rsidRPr="006472A5" w:rsidRDefault="00B4295E" w:rsidP="00C364CD">
            <w:pPr>
              <w:pStyle w:val="ListParagraph"/>
              <w:ind w:left="0"/>
            </w:pPr>
            <w:r w:rsidRPr="006472A5">
              <w:t>IIED</w:t>
            </w:r>
          </w:p>
        </w:tc>
        <w:tc>
          <w:tcPr>
            <w:tcW w:w="7998" w:type="dxa"/>
          </w:tcPr>
          <w:p w14:paraId="73C7266B" w14:textId="0BF82A1B" w:rsidR="00B4295E" w:rsidRPr="006472A5" w:rsidRDefault="00B4295E" w:rsidP="00C364CD">
            <w:pPr>
              <w:pStyle w:val="ListParagraph"/>
              <w:ind w:left="0"/>
            </w:pPr>
            <w:r>
              <w:t>International Institute for Environment and Development</w:t>
            </w:r>
          </w:p>
        </w:tc>
      </w:tr>
      <w:tr w:rsidR="00B4295E" w:rsidRPr="006472A5" w14:paraId="4AC3BF68" w14:textId="77777777" w:rsidTr="000275A0">
        <w:tc>
          <w:tcPr>
            <w:tcW w:w="1244" w:type="dxa"/>
          </w:tcPr>
          <w:p w14:paraId="79111A26" w14:textId="77777777" w:rsidR="00B4295E" w:rsidRPr="006472A5" w:rsidRDefault="00B4295E" w:rsidP="00C364CD">
            <w:pPr>
              <w:pStyle w:val="ListParagraph"/>
              <w:ind w:left="0"/>
            </w:pPr>
            <w:r w:rsidRPr="006472A5">
              <w:t>RSA</w:t>
            </w:r>
          </w:p>
        </w:tc>
        <w:tc>
          <w:tcPr>
            <w:tcW w:w="7998" w:type="dxa"/>
          </w:tcPr>
          <w:p w14:paraId="20251C84" w14:textId="77777777" w:rsidR="00B4295E" w:rsidRPr="006472A5" w:rsidRDefault="00B4295E" w:rsidP="00C364CD">
            <w:pPr>
              <w:pStyle w:val="ListParagraph"/>
              <w:ind w:left="0"/>
            </w:pPr>
            <w:r>
              <w:t>Republic of South Africa</w:t>
            </w:r>
          </w:p>
        </w:tc>
      </w:tr>
      <w:tr w:rsidR="00B4295E" w:rsidRPr="006472A5" w14:paraId="5B04EB3D" w14:textId="77777777" w:rsidTr="000275A0">
        <w:tc>
          <w:tcPr>
            <w:tcW w:w="1244" w:type="dxa"/>
          </w:tcPr>
          <w:p w14:paraId="66131EC2" w14:textId="77777777" w:rsidR="00B4295E" w:rsidRPr="006472A5" w:rsidRDefault="00B4295E" w:rsidP="00C364CD">
            <w:pPr>
              <w:pStyle w:val="ListParagraph"/>
              <w:ind w:left="0"/>
            </w:pPr>
            <w:r w:rsidRPr="006472A5">
              <w:t>SULi</w:t>
            </w:r>
          </w:p>
        </w:tc>
        <w:tc>
          <w:tcPr>
            <w:tcW w:w="7998" w:type="dxa"/>
          </w:tcPr>
          <w:p w14:paraId="068FF05E" w14:textId="66C159A0" w:rsidR="00B4295E" w:rsidRPr="006472A5" w:rsidRDefault="00B4295E" w:rsidP="00C364CD">
            <w:pPr>
              <w:pStyle w:val="ListParagraph"/>
              <w:ind w:left="0"/>
            </w:pPr>
            <w:r>
              <w:t>Sustainable Use and Livelihoods Specialist Group (IUCN)</w:t>
            </w:r>
          </w:p>
        </w:tc>
      </w:tr>
      <w:tr w:rsidR="000275A0" w:rsidRPr="006472A5" w14:paraId="1FA9F72D" w14:textId="77777777" w:rsidTr="000275A0">
        <w:tc>
          <w:tcPr>
            <w:tcW w:w="1244" w:type="dxa"/>
          </w:tcPr>
          <w:p w14:paraId="6F5D5C91" w14:textId="77777777" w:rsidR="000275A0" w:rsidRPr="006472A5" w:rsidRDefault="000275A0" w:rsidP="00C364CD">
            <w:pPr>
              <w:pStyle w:val="ListParagraph"/>
              <w:ind w:left="0"/>
            </w:pPr>
            <w:r w:rsidRPr="006472A5">
              <w:t>USAID</w:t>
            </w:r>
          </w:p>
        </w:tc>
        <w:tc>
          <w:tcPr>
            <w:tcW w:w="7998" w:type="dxa"/>
          </w:tcPr>
          <w:p w14:paraId="6BB5271A" w14:textId="77777777" w:rsidR="000275A0" w:rsidRPr="006472A5" w:rsidRDefault="000275A0" w:rsidP="00C364CD">
            <w:pPr>
              <w:pStyle w:val="ListParagraph"/>
              <w:ind w:left="0"/>
            </w:pPr>
            <w:r>
              <w:t>United States Agency for International Development</w:t>
            </w:r>
          </w:p>
        </w:tc>
      </w:tr>
      <w:tr w:rsidR="000275A0" w:rsidRPr="006472A5" w14:paraId="24962B87" w14:textId="77777777" w:rsidTr="000275A0">
        <w:tc>
          <w:tcPr>
            <w:tcW w:w="1244" w:type="dxa"/>
          </w:tcPr>
          <w:p w14:paraId="67AE21BB" w14:textId="77777777" w:rsidR="000275A0" w:rsidRPr="006472A5" w:rsidRDefault="000275A0" w:rsidP="00C364CD">
            <w:pPr>
              <w:pStyle w:val="ListParagraph"/>
              <w:ind w:left="0"/>
            </w:pPr>
            <w:r w:rsidRPr="006472A5">
              <w:t>WCPA</w:t>
            </w:r>
          </w:p>
        </w:tc>
        <w:tc>
          <w:tcPr>
            <w:tcW w:w="7998" w:type="dxa"/>
          </w:tcPr>
          <w:p w14:paraId="1E5100BE" w14:textId="30109DDB" w:rsidR="000275A0" w:rsidRPr="006472A5" w:rsidRDefault="000275A0" w:rsidP="00C364CD">
            <w:pPr>
              <w:pStyle w:val="ListParagraph"/>
              <w:ind w:left="0"/>
            </w:pPr>
            <w:r>
              <w:t>World Commission for Protected Areas (IUCN)</w:t>
            </w:r>
          </w:p>
        </w:tc>
      </w:tr>
      <w:tr w:rsidR="000275A0" w:rsidRPr="006472A5" w14:paraId="61D1158D" w14:textId="77777777" w:rsidTr="000275A0">
        <w:tc>
          <w:tcPr>
            <w:tcW w:w="1244" w:type="dxa"/>
          </w:tcPr>
          <w:p w14:paraId="21179EBD" w14:textId="77777777" w:rsidR="000275A0" w:rsidRPr="006472A5" w:rsidRDefault="000275A0" w:rsidP="00C364CD">
            <w:pPr>
              <w:pStyle w:val="ListParagraph"/>
              <w:ind w:left="0"/>
            </w:pPr>
            <w:r w:rsidRPr="006472A5">
              <w:t>WWF</w:t>
            </w:r>
          </w:p>
        </w:tc>
        <w:tc>
          <w:tcPr>
            <w:tcW w:w="7998" w:type="dxa"/>
          </w:tcPr>
          <w:p w14:paraId="22318BE8" w14:textId="77777777" w:rsidR="000275A0" w:rsidRPr="006472A5" w:rsidRDefault="000275A0" w:rsidP="00C364CD">
            <w:pPr>
              <w:pStyle w:val="ListParagraph"/>
              <w:ind w:left="0"/>
            </w:pPr>
            <w:r>
              <w:t>World Wildlife Fund</w:t>
            </w:r>
          </w:p>
        </w:tc>
      </w:tr>
    </w:tbl>
    <w:p w14:paraId="52916224" w14:textId="77777777" w:rsidR="006472A5" w:rsidRDefault="006472A5"/>
    <w:p w14:paraId="1D51B163" w14:textId="77777777" w:rsidR="00983835" w:rsidRDefault="00983835">
      <w:r>
        <w:br w:type="page"/>
      </w:r>
    </w:p>
    <w:p w14:paraId="620EED11" w14:textId="77777777" w:rsidR="00AF3670" w:rsidRDefault="008747F6" w:rsidP="00975DB8">
      <w:pPr>
        <w:jc w:val="center"/>
      </w:pPr>
      <w:r>
        <w:lastRenderedPageBreak/>
        <w:t xml:space="preserve">SADC TFCA </w:t>
      </w:r>
      <w:r w:rsidR="00AF3670">
        <w:t>Network</w:t>
      </w:r>
    </w:p>
    <w:p w14:paraId="71A997AA" w14:textId="77777777" w:rsidR="008747F6" w:rsidRDefault="008747F6" w:rsidP="00975DB8">
      <w:pPr>
        <w:jc w:val="center"/>
      </w:pPr>
      <w:r>
        <w:t>Capacity Development Community of Practice</w:t>
      </w:r>
      <w:r w:rsidR="00AF3670">
        <w:t xml:space="preserve"> (CD CoP)</w:t>
      </w:r>
    </w:p>
    <w:p w14:paraId="122C4394" w14:textId="77777777" w:rsidR="008747F6" w:rsidRDefault="008747F6" w:rsidP="00975DB8">
      <w:pPr>
        <w:jc w:val="center"/>
        <w:rPr>
          <w:b/>
        </w:rPr>
      </w:pPr>
      <w:r w:rsidRPr="003E7C1E">
        <w:rPr>
          <w:b/>
        </w:rPr>
        <w:t>Monday 6 November 2017</w:t>
      </w:r>
    </w:p>
    <w:p w14:paraId="4729511E" w14:textId="77777777" w:rsidR="00975DB8" w:rsidRPr="003E7C1E" w:rsidRDefault="00975DB8" w:rsidP="00D7479B">
      <w:pPr>
        <w:rPr>
          <w:b/>
        </w:rPr>
      </w:pPr>
    </w:p>
    <w:tbl>
      <w:tblPr>
        <w:tblStyle w:val="TableGrid"/>
        <w:tblW w:w="0" w:type="auto"/>
        <w:tblLook w:val="04A0" w:firstRow="1" w:lastRow="0" w:firstColumn="1" w:lastColumn="0" w:noHBand="0" w:noVBand="1"/>
      </w:tblPr>
      <w:tblGrid>
        <w:gridCol w:w="1668"/>
        <w:gridCol w:w="5670"/>
        <w:gridCol w:w="1904"/>
      </w:tblGrid>
      <w:tr w:rsidR="00AF3670" w:rsidRPr="00D7479B" w14:paraId="5DF379D2" w14:textId="77777777" w:rsidTr="00A67304">
        <w:tc>
          <w:tcPr>
            <w:tcW w:w="1668" w:type="dxa"/>
            <w:tcBorders>
              <w:bottom w:val="single" w:sz="4" w:space="0" w:color="auto"/>
            </w:tcBorders>
          </w:tcPr>
          <w:p w14:paraId="1719C943" w14:textId="77777777" w:rsidR="00AF3670" w:rsidRPr="00D7479B" w:rsidRDefault="00AF3670" w:rsidP="00AF3670">
            <w:pPr>
              <w:rPr>
                <w:b/>
              </w:rPr>
            </w:pPr>
            <w:r w:rsidRPr="00D7479B">
              <w:rPr>
                <w:b/>
              </w:rPr>
              <w:t>Time</w:t>
            </w:r>
          </w:p>
        </w:tc>
        <w:tc>
          <w:tcPr>
            <w:tcW w:w="5670" w:type="dxa"/>
            <w:tcBorders>
              <w:bottom w:val="single" w:sz="4" w:space="0" w:color="auto"/>
            </w:tcBorders>
          </w:tcPr>
          <w:p w14:paraId="534ACF41" w14:textId="77777777" w:rsidR="00AF3670" w:rsidRPr="00D7479B" w:rsidRDefault="00AF3670">
            <w:pPr>
              <w:rPr>
                <w:b/>
              </w:rPr>
            </w:pPr>
            <w:r w:rsidRPr="00D7479B">
              <w:rPr>
                <w:b/>
              </w:rPr>
              <w:t>Agenda Item</w:t>
            </w:r>
          </w:p>
        </w:tc>
        <w:tc>
          <w:tcPr>
            <w:tcW w:w="1904" w:type="dxa"/>
            <w:tcBorders>
              <w:bottom w:val="single" w:sz="4" w:space="0" w:color="auto"/>
            </w:tcBorders>
          </w:tcPr>
          <w:p w14:paraId="77FDC820" w14:textId="77777777" w:rsidR="00AF3670" w:rsidRPr="00D7479B" w:rsidRDefault="0006563B">
            <w:pPr>
              <w:rPr>
                <w:b/>
              </w:rPr>
            </w:pPr>
            <w:r>
              <w:rPr>
                <w:b/>
              </w:rPr>
              <w:t>Presenter / Facilitator</w:t>
            </w:r>
          </w:p>
        </w:tc>
      </w:tr>
      <w:tr w:rsidR="008747F6" w:rsidRPr="00A67304" w14:paraId="46ACF981" w14:textId="77777777" w:rsidTr="00A67304">
        <w:tc>
          <w:tcPr>
            <w:tcW w:w="1668" w:type="dxa"/>
            <w:shd w:val="clear" w:color="auto" w:fill="D9D9D9" w:themeFill="background1" w:themeFillShade="D9"/>
          </w:tcPr>
          <w:p w14:paraId="6095536A" w14:textId="77777777" w:rsidR="00AE62A3" w:rsidRDefault="00AE62A3" w:rsidP="00AF3670">
            <w:pPr>
              <w:rPr>
                <w:i/>
              </w:rPr>
            </w:pPr>
          </w:p>
          <w:p w14:paraId="5BADF973" w14:textId="77777777" w:rsidR="008747F6" w:rsidRDefault="008747F6" w:rsidP="00AF3670">
            <w:pPr>
              <w:rPr>
                <w:i/>
              </w:rPr>
            </w:pPr>
            <w:r w:rsidRPr="00A67304">
              <w:rPr>
                <w:i/>
              </w:rPr>
              <w:t>09h</w:t>
            </w:r>
            <w:r w:rsidR="00AF3670" w:rsidRPr="00A67304">
              <w:rPr>
                <w:i/>
              </w:rPr>
              <w:t>30</w:t>
            </w:r>
            <w:r w:rsidRPr="00A67304">
              <w:rPr>
                <w:i/>
              </w:rPr>
              <w:t xml:space="preserve"> – 10h00</w:t>
            </w:r>
          </w:p>
          <w:p w14:paraId="3C4798DA" w14:textId="77777777" w:rsidR="00AE62A3" w:rsidRPr="00A67304" w:rsidRDefault="00AE62A3" w:rsidP="00AF3670">
            <w:pPr>
              <w:rPr>
                <w:i/>
              </w:rPr>
            </w:pPr>
          </w:p>
        </w:tc>
        <w:tc>
          <w:tcPr>
            <w:tcW w:w="5670" w:type="dxa"/>
            <w:shd w:val="clear" w:color="auto" w:fill="D9D9D9" w:themeFill="background1" w:themeFillShade="D9"/>
          </w:tcPr>
          <w:p w14:paraId="21BFC880" w14:textId="77777777" w:rsidR="00AE62A3" w:rsidRDefault="00AE62A3">
            <w:pPr>
              <w:rPr>
                <w:i/>
              </w:rPr>
            </w:pPr>
          </w:p>
          <w:p w14:paraId="557BA027" w14:textId="77777777" w:rsidR="008747F6" w:rsidRPr="00A67304" w:rsidRDefault="00AF3670">
            <w:pPr>
              <w:rPr>
                <w:i/>
              </w:rPr>
            </w:pPr>
            <w:r w:rsidRPr="00A67304">
              <w:rPr>
                <w:i/>
              </w:rPr>
              <w:t xml:space="preserve">Tea - </w:t>
            </w:r>
            <w:r w:rsidR="008747F6" w:rsidRPr="00A67304">
              <w:rPr>
                <w:i/>
              </w:rPr>
              <w:t>Registration and Welcome</w:t>
            </w:r>
          </w:p>
        </w:tc>
        <w:tc>
          <w:tcPr>
            <w:tcW w:w="1904" w:type="dxa"/>
            <w:shd w:val="clear" w:color="auto" w:fill="D9D9D9" w:themeFill="background1" w:themeFillShade="D9"/>
          </w:tcPr>
          <w:p w14:paraId="02BBE737" w14:textId="77777777" w:rsidR="008747F6" w:rsidRDefault="008747F6">
            <w:pPr>
              <w:rPr>
                <w:i/>
              </w:rPr>
            </w:pPr>
          </w:p>
          <w:p w14:paraId="7DA1E3CC" w14:textId="77777777" w:rsidR="005B2BC3" w:rsidRPr="00A67304" w:rsidRDefault="005B2BC3">
            <w:pPr>
              <w:rPr>
                <w:i/>
              </w:rPr>
            </w:pPr>
            <w:r>
              <w:rPr>
                <w:i/>
              </w:rPr>
              <w:t>n/a</w:t>
            </w:r>
          </w:p>
        </w:tc>
      </w:tr>
      <w:tr w:rsidR="008747F6" w14:paraId="18A04A9A" w14:textId="77777777" w:rsidTr="0006563B">
        <w:tc>
          <w:tcPr>
            <w:tcW w:w="1668" w:type="dxa"/>
          </w:tcPr>
          <w:p w14:paraId="74ECA619" w14:textId="77777777" w:rsidR="00AE62A3" w:rsidRDefault="00AE62A3"/>
          <w:p w14:paraId="35ACFDED" w14:textId="77777777" w:rsidR="008747F6" w:rsidRDefault="003E7C1E">
            <w:r>
              <w:t>10h00 – 10h30</w:t>
            </w:r>
          </w:p>
        </w:tc>
        <w:tc>
          <w:tcPr>
            <w:tcW w:w="5670" w:type="dxa"/>
          </w:tcPr>
          <w:p w14:paraId="489635DA" w14:textId="77777777" w:rsidR="00AE62A3" w:rsidRDefault="00AE62A3" w:rsidP="004510B3"/>
          <w:p w14:paraId="459CD458" w14:textId="77777777" w:rsidR="00E421B0" w:rsidRDefault="004510B3" w:rsidP="004510B3">
            <w:r>
              <w:t xml:space="preserve">Summary of the </w:t>
            </w:r>
            <w:r w:rsidR="005B2BC3">
              <w:t>CoP</w:t>
            </w:r>
            <w:r>
              <w:t xml:space="preserve"> event held during the TFCA Network meeting in March 2017</w:t>
            </w:r>
            <w:r w:rsidR="00A67304">
              <w:t xml:space="preserve"> (incl. recommendations)</w:t>
            </w:r>
          </w:p>
          <w:p w14:paraId="2C8B203E" w14:textId="77777777" w:rsidR="00AE62A3" w:rsidRDefault="00AE62A3" w:rsidP="004510B3"/>
        </w:tc>
        <w:tc>
          <w:tcPr>
            <w:tcW w:w="1904" w:type="dxa"/>
          </w:tcPr>
          <w:p w14:paraId="7060B00E" w14:textId="77777777" w:rsidR="00AE62A3" w:rsidRDefault="00AE62A3"/>
          <w:p w14:paraId="484EF881" w14:textId="77777777" w:rsidR="008747F6" w:rsidRDefault="00A90252">
            <w:r>
              <w:t>Seth and Mareile</w:t>
            </w:r>
          </w:p>
        </w:tc>
      </w:tr>
      <w:tr w:rsidR="0006563B" w14:paraId="4BBD434A" w14:textId="77777777" w:rsidTr="0006563B">
        <w:tc>
          <w:tcPr>
            <w:tcW w:w="1668" w:type="dxa"/>
          </w:tcPr>
          <w:p w14:paraId="585AB256" w14:textId="77777777" w:rsidR="00AE62A3" w:rsidRDefault="00AE62A3"/>
          <w:p w14:paraId="2A787685" w14:textId="77777777" w:rsidR="0006563B" w:rsidRDefault="00A84CDF">
            <w:r>
              <w:t>10h30 – 11h00</w:t>
            </w:r>
          </w:p>
          <w:p w14:paraId="6A6787A8" w14:textId="77777777" w:rsidR="00AE62A3" w:rsidRDefault="00AE62A3"/>
          <w:p w14:paraId="20CC32D7" w14:textId="77777777" w:rsidR="00AE62A3" w:rsidRDefault="00AE62A3"/>
        </w:tc>
        <w:tc>
          <w:tcPr>
            <w:tcW w:w="5670" w:type="dxa"/>
          </w:tcPr>
          <w:p w14:paraId="54C730C7" w14:textId="77777777" w:rsidR="00AE62A3" w:rsidRDefault="00AE62A3" w:rsidP="0006563B">
            <w:pPr>
              <w:rPr>
                <w:rFonts w:eastAsia="Times New Roman"/>
              </w:rPr>
            </w:pPr>
          </w:p>
          <w:p w14:paraId="78A737DA" w14:textId="77777777" w:rsidR="0006563B" w:rsidRDefault="0006563B" w:rsidP="0006563B">
            <w:pPr>
              <w:rPr>
                <w:rFonts w:eastAsia="Times New Roman"/>
              </w:rPr>
            </w:pPr>
            <w:r>
              <w:rPr>
                <w:rFonts w:eastAsia="Times New Roman"/>
              </w:rPr>
              <w:t xml:space="preserve">Learning from Practice – the example of the TFCA Network Tourism CoP </w:t>
            </w:r>
          </w:p>
        </w:tc>
        <w:tc>
          <w:tcPr>
            <w:tcW w:w="1904" w:type="dxa"/>
          </w:tcPr>
          <w:p w14:paraId="4216A62C" w14:textId="77777777" w:rsidR="00AE62A3" w:rsidRDefault="00AE62A3"/>
          <w:p w14:paraId="79F1C91C" w14:textId="77777777" w:rsidR="0006563B" w:rsidRDefault="00A90252">
            <w:r>
              <w:t>Lisa</w:t>
            </w:r>
          </w:p>
        </w:tc>
      </w:tr>
      <w:tr w:rsidR="008747F6" w14:paraId="1E4DFD85" w14:textId="77777777" w:rsidTr="00A67304">
        <w:tc>
          <w:tcPr>
            <w:tcW w:w="1668" w:type="dxa"/>
            <w:tcBorders>
              <w:bottom w:val="single" w:sz="4" w:space="0" w:color="auto"/>
            </w:tcBorders>
          </w:tcPr>
          <w:p w14:paraId="36CB3B23" w14:textId="77777777" w:rsidR="00AE62A3" w:rsidRDefault="00AE62A3"/>
          <w:p w14:paraId="2DA86B9B" w14:textId="77777777" w:rsidR="008747F6" w:rsidRDefault="00A84CDF">
            <w:r>
              <w:t>11h00 – 12h30</w:t>
            </w:r>
          </w:p>
          <w:p w14:paraId="3134F47F" w14:textId="77777777" w:rsidR="00AE62A3" w:rsidRDefault="00AE62A3"/>
        </w:tc>
        <w:tc>
          <w:tcPr>
            <w:tcW w:w="5670" w:type="dxa"/>
            <w:tcBorders>
              <w:bottom w:val="single" w:sz="4" w:space="0" w:color="auto"/>
            </w:tcBorders>
          </w:tcPr>
          <w:p w14:paraId="57948826" w14:textId="77777777" w:rsidR="00AE62A3" w:rsidRDefault="00AE62A3" w:rsidP="00A84CDF">
            <w:pPr>
              <w:rPr>
                <w:rFonts w:eastAsia="Times New Roman"/>
              </w:rPr>
            </w:pPr>
          </w:p>
          <w:p w14:paraId="7837F5BD" w14:textId="77777777" w:rsidR="008747F6" w:rsidRDefault="0006563B" w:rsidP="00A84CDF">
            <w:r>
              <w:rPr>
                <w:rFonts w:eastAsia="Times New Roman"/>
              </w:rPr>
              <w:t xml:space="preserve">Review of the </w:t>
            </w:r>
            <w:r w:rsidR="005B2BC3">
              <w:rPr>
                <w:rFonts w:eastAsia="Times New Roman"/>
              </w:rPr>
              <w:t xml:space="preserve">CoP’s </w:t>
            </w:r>
            <w:r>
              <w:rPr>
                <w:rFonts w:eastAsia="Times New Roman"/>
              </w:rPr>
              <w:t xml:space="preserve">ToR </w:t>
            </w:r>
            <w:r w:rsidR="00A84CDF">
              <w:rPr>
                <w:rFonts w:eastAsia="Times New Roman"/>
              </w:rPr>
              <w:t>(</w:t>
            </w:r>
            <w:r w:rsidR="003E7C1E">
              <w:t>mission, vision, mem</w:t>
            </w:r>
            <w:r w:rsidR="00A84CDF">
              <w:t>b</w:t>
            </w:r>
            <w:r w:rsidR="003E7C1E">
              <w:t>ership and operational structure</w:t>
            </w:r>
            <w:r w:rsidR="00A84CDF">
              <w:t>)</w:t>
            </w:r>
          </w:p>
          <w:p w14:paraId="15DB4EFF" w14:textId="77777777" w:rsidR="00AE62A3" w:rsidRDefault="00AE62A3" w:rsidP="00A84CDF"/>
        </w:tc>
        <w:tc>
          <w:tcPr>
            <w:tcW w:w="1904" w:type="dxa"/>
            <w:tcBorders>
              <w:bottom w:val="single" w:sz="4" w:space="0" w:color="auto"/>
            </w:tcBorders>
          </w:tcPr>
          <w:p w14:paraId="19723F84" w14:textId="77777777" w:rsidR="00AE62A3" w:rsidRDefault="00AE62A3"/>
          <w:p w14:paraId="4EFB6B3E" w14:textId="77777777" w:rsidR="008747F6" w:rsidRDefault="00A90252">
            <w:r>
              <w:t>Seth, Mareile and Ashwell</w:t>
            </w:r>
          </w:p>
        </w:tc>
      </w:tr>
      <w:tr w:rsidR="008747F6" w:rsidRPr="00A67304" w14:paraId="7E728299" w14:textId="77777777" w:rsidTr="00A67304">
        <w:tc>
          <w:tcPr>
            <w:tcW w:w="1668" w:type="dxa"/>
            <w:shd w:val="clear" w:color="auto" w:fill="D9D9D9" w:themeFill="background1" w:themeFillShade="D9"/>
          </w:tcPr>
          <w:p w14:paraId="3103A28C" w14:textId="77777777" w:rsidR="00AE62A3" w:rsidRDefault="00AE62A3">
            <w:pPr>
              <w:rPr>
                <w:i/>
              </w:rPr>
            </w:pPr>
          </w:p>
          <w:p w14:paraId="737F966B" w14:textId="77777777" w:rsidR="008747F6" w:rsidRDefault="003E7C1E">
            <w:pPr>
              <w:rPr>
                <w:i/>
              </w:rPr>
            </w:pPr>
            <w:r w:rsidRPr="00A67304">
              <w:rPr>
                <w:i/>
              </w:rPr>
              <w:t>12h30 – 13h30</w:t>
            </w:r>
          </w:p>
          <w:p w14:paraId="00BA849B" w14:textId="77777777" w:rsidR="00AE62A3" w:rsidRPr="00A67304" w:rsidRDefault="00AE62A3">
            <w:pPr>
              <w:rPr>
                <w:i/>
              </w:rPr>
            </w:pPr>
          </w:p>
        </w:tc>
        <w:tc>
          <w:tcPr>
            <w:tcW w:w="5670" w:type="dxa"/>
            <w:shd w:val="clear" w:color="auto" w:fill="D9D9D9" w:themeFill="background1" w:themeFillShade="D9"/>
          </w:tcPr>
          <w:p w14:paraId="0E7DD9FF" w14:textId="77777777" w:rsidR="00AE62A3" w:rsidRDefault="00AE62A3">
            <w:pPr>
              <w:rPr>
                <w:i/>
              </w:rPr>
            </w:pPr>
          </w:p>
          <w:p w14:paraId="0D20BB25" w14:textId="77777777" w:rsidR="008747F6" w:rsidRPr="00A67304" w:rsidRDefault="003E7C1E">
            <w:pPr>
              <w:rPr>
                <w:i/>
              </w:rPr>
            </w:pPr>
            <w:r w:rsidRPr="00A67304">
              <w:rPr>
                <w:i/>
              </w:rPr>
              <w:t>Lunch</w:t>
            </w:r>
          </w:p>
        </w:tc>
        <w:tc>
          <w:tcPr>
            <w:tcW w:w="1904" w:type="dxa"/>
            <w:shd w:val="clear" w:color="auto" w:fill="D9D9D9" w:themeFill="background1" w:themeFillShade="D9"/>
          </w:tcPr>
          <w:p w14:paraId="3BB83F90" w14:textId="77777777" w:rsidR="008747F6" w:rsidRDefault="008747F6">
            <w:pPr>
              <w:rPr>
                <w:i/>
              </w:rPr>
            </w:pPr>
          </w:p>
          <w:p w14:paraId="266B5397" w14:textId="77777777" w:rsidR="005B2BC3" w:rsidRPr="00A67304" w:rsidRDefault="005B2BC3">
            <w:pPr>
              <w:rPr>
                <w:i/>
              </w:rPr>
            </w:pPr>
            <w:r>
              <w:rPr>
                <w:i/>
              </w:rPr>
              <w:t>n/a</w:t>
            </w:r>
          </w:p>
        </w:tc>
      </w:tr>
      <w:tr w:rsidR="008747F6" w14:paraId="7FFE4338" w14:textId="77777777" w:rsidTr="00A67304">
        <w:tc>
          <w:tcPr>
            <w:tcW w:w="1668" w:type="dxa"/>
            <w:tcBorders>
              <w:bottom w:val="single" w:sz="4" w:space="0" w:color="auto"/>
            </w:tcBorders>
          </w:tcPr>
          <w:p w14:paraId="0A091102" w14:textId="77777777" w:rsidR="00AE62A3" w:rsidRDefault="00AE62A3" w:rsidP="00975DB8"/>
          <w:p w14:paraId="18DE4316" w14:textId="77777777" w:rsidR="008747F6" w:rsidRDefault="003E7C1E" w:rsidP="00975DB8">
            <w:r>
              <w:t>13h30 – 1</w:t>
            </w:r>
            <w:r w:rsidR="00975DB8">
              <w:t>5h00</w:t>
            </w:r>
          </w:p>
          <w:p w14:paraId="21C04FCD" w14:textId="77777777" w:rsidR="00AE62A3" w:rsidRDefault="00AE62A3" w:rsidP="00975DB8"/>
          <w:p w14:paraId="69C236C6" w14:textId="77777777" w:rsidR="00AE62A3" w:rsidRDefault="00AE62A3" w:rsidP="00975DB8"/>
        </w:tc>
        <w:tc>
          <w:tcPr>
            <w:tcW w:w="5670" w:type="dxa"/>
            <w:tcBorders>
              <w:bottom w:val="single" w:sz="4" w:space="0" w:color="auto"/>
            </w:tcBorders>
          </w:tcPr>
          <w:p w14:paraId="5ABC38D2" w14:textId="77777777" w:rsidR="00AE62A3" w:rsidRDefault="00AE62A3"/>
          <w:p w14:paraId="01DCC9E7" w14:textId="77777777" w:rsidR="008747F6" w:rsidRDefault="003E7C1E">
            <w:r>
              <w:t>Plan Jan 2018 – Dec 2020</w:t>
            </w:r>
            <w:r w:rsidR="00A84CDF">
              <w:t xml:space="preserve"> with assigned roles &amp; responsibilities</w:t>
            </w:r>
          </w:p>
        </w:tc>
        <w:tc>
          <w:tcPr>
            <w:tcW w:w="1904" w:type="dxa"/>
            <w:tcBorders>
              <w:bottom w:val="single" w:sz="4" w:space="0" w:color="auto"/>
            </w:tcBorders>
          </w:tcPr>
          <w:p w14:paraId="0E3A4ED4" w14:textId="77777777" w:rsidR="008747F6" w:rsidRDefault="008747F6"/>
          <w:p w14:paraId="6DEEDF6D" w14:textId="77777777" w:rsidR="005B2BC3" w:rsidRDefault="005B2BC3">
            <w:r>
              <w:t>Seth, Mareile and Ashwell</w:t>
            </w:r>
          </w:p>
        </w:tc>
      </w:tr>
      <w:tr w:rsidR="00975DB8" w:rsidRPr="00A67304" w14:paraId="17D47CA8" w14:textId="77777777" w:rsidTr="00A67304">
        <w:tc>
          <w:tcPr>
            <w:tcW w:w="1668" w:type="dxa"/>
            <w:shd w:val="clear" w:color="auto" w:fill="D9D9D9" w:themeFill="background1" w:themeFillShade="D9"/>
          </w:tcPr>
          <w:p w14:paraId="5865A777" w14:textId="77777777" w:rsidR="00AE62A3" w:rsidRDefault="00AE62A3" w:rsidP="00975DB8">
            <w:pPr>
              <w:rPr>
                <w:i/>
              </w:rPr>
            </w:pPr>
          </w:p>
          <w:p w14:paraId="4ED65E44" w14:textId="77777777" w:rsidR="00975DB8" w:rsidRDefault="00975DB8" w:rsidP="00975DB8">
            <w:pPr>
              <w:rPr>
                <w:i/>
              </w:rPr>
            </w:pPr>
            <w:r w:rsidRPr="00A67304">
              <w:rPr>
                <w:i/>
              </w:rPr>
              <w:t>15h00 – 15h15</w:t>
            </w:r>
          </w:p>
          <w:p w14:paraId="10EB2EF9" w14:textId="77777777" w:rsidR="00AE62A3" w:rsidRPr="00A67304" w:rsidRDefault="00AE62A3" w:rsidP="00975DB8">
            <w:pPr>
              <w:rPr>
                <w:i/>
              </w:rPr>
            </w:pPr>
          </w:p>
        </w:tc>
        <w:tc>
          <w:tcPr>
            <w:tcW w:w="5670" w:type="dxa"/>
            <w:shd w:val="clear" w:color="auto" w:fill="D9D9D9" w:themeFill="background1" w:themeFillShade="D9"/>
          </w:tcPr>
          <w:p w14:paraId="2975B8E3" w14:textId="77777777" w:rsidR="00AE62A3" w:rsidRDefault="00AE62A3">
            <w:pPr>
              <w:rPr>
                <w:i/>
              </w:rPr>
            </w:pPr>
          </w:p>
          <w:p w14:paraId="2442994F" w14:textId="77777777" w:rsidR="00975DB8" w:rsidRPr="00A67304" w:rsidRDefault="00975DB8">
            <w:pPr>
              <w:rPr>
                <w:i/>
              </w:rPr>
            </w:pPr>
            <w:r w:rsidRPr="00A67304">
              <w:rPr>
                <w:i/>
              </w:rPr>
              <w:t>Tea</w:t>
            </w:r>
          </w:p>
        </w:tc>
        <w:tc>
          <w:tcPr>
            <w:tcW w:w="1904" w:type="dxa"/>
            <w:shd w:val="clear" w:color="auto" w:fill="D9D9D9" w:themeFill="background1" w:themeFillShade="D9"/>
          </w:tcPr>
          <w:p w14:paraId="2A00320F" w14:textId="77777777" w:rsidR="00975DB8" w:rsidRDefault="00975DB8">
            <w:pPr>
              <w:rPr>
                <w:i/>
              </w:rPr>
            </w:pPr>
          </w:p>
          <w:p w14:paraId="648D326D" w14:textId="77777777" w:rsidR="005B2BC3" w:rsidRPr="00A67304" w:rsidRDefault="005B2BC3">
            <w:pPr>
              <w:rPr>
                <w:i/>
              </w:rPr>
            </w:pPr>
            <w:r>
              <w:rPr>
                <w:i/>
              </w:rPr>
              <w:t>n/a</w:t>
            </w:r>
          </w:p>
        </w:tc>
      </w:tr>
      <w:tr w:rsidR="008747F6" w14:paraId="416D13A9" w14:textId="77777777" w:rsidTr="0006563B">
        <w:tc>
          <w:tcPr>
            <w:tcW w:w="1668" w:type="dxa"/>
          </w:tcPr>
          <w:p w14:paraId="4DBEF293" w14:textId="77777777" w:rsidR="00AE62A3" w:rsidRDefault="00AE62A3" w:rsidP="00B40641"/>
          <w:p w14:paraId="316CDE6D" w14:textId="77777777" w:rsidR="008747F6" w:rsidRDefault="00975DB8" w:rsidP="00B40641">
            <w:r>
              <w:t xml:space="preserve">15h15 </w:t>
            </w:r>
            <w:r w:rsidR="00B40641">
              <w:t>–</w:t>
            </w:r>
            <w:r>
              <w:t xml:space="preserve"> </w:t>
            </w:r>
            <w:r w:rsidR="003E7C1E">
              <w:t>1</w:t>
            </w:r>
            <w:r w:rsidR="00B40641">
              <w:t>6h30</w:t>
            </w:r>
          </w:p>
        </w:tc>
        <w:tc>
          <w:tcPr>
            <w:tcW w:w="5670" w:type="dxa"/>
          </w:tcPr>
          <w:p w14:paraId="389DBA17" w14:textId="77777777" w:rsidR="00AE62A3" w:rsidRDefault="00AE62A3" w:rsidP="00E421B0"/>
          <w:p w14:paraId="15F8CA91" w14:textId="77777777" w:rsidR="008747F6" w:rsidRDefault="00E421B0" w:rsidP="00E421B0">
            <w:r>
              <w:t>Updates / briefs</w:t>
            </w:r>
          </w:p>
          <w:p w14:paraId="047FD7B9" w14:textId="77777777" w:rsidR="00E421B0" w:rsidRDefault="00E421B0" w:rsidP="00E421B0">
            <w:pPr>
              <w:pStyle w:val="ListParagraph"/>
              <w:numPr>
                <w:ilvl w:val="0"/>
                <w:numId w:val="2"/>
              </w:numPr>
            </w:pPr>
            <w:r>
              <w:t>The USAID Combatting Wildlife Crime Program</w:t>
            </w:r>
          </w:p>
          <w:p w14:paraId="37838CC7" w14:textId="77777777" w:rsidR="00E421B0" w:rsidRDefault="00E421B0" w:rsidP="00E421B0">
            <w:pPr>
              <w:pStyle w:val="ListParagraph"/>
              <w:numPr>
                <w:ilvl w:val="0"/>
                <w:numId w:val="2"/>
              </w:numPr>
            </w:pPr>
            <w:r>
              <w:t>The USAID The Southern African Resilient Waters Program</w:t>
            </w:r>
          </w:p>
          <w:p w14:paraId="4CBC8D74" w14:textId="77777777" w:rsidR="0029308A" w:rsidRDefault="0029308A" w:rsidP="00E421B0">
            <w:pPr>
              <w:pStyle w:val="ListParagraph"/>
              <w:numPr>
                <w:ilvl w:val="0"/>
                <w:numId w:val="2"/>
              </w:numPr>
            </w:pPr>
            <w:r>
              <w:t xml:space="preserve">The DEA/GEF Programme on combatting wildlife crime </w:t>
            </w:r>
          </w:p>
          <w:p w14:paraId="788B68D7" w14:textId="77777777" w:rsidR="0029308A" w:rsidRDefault="00AE62A3" w:rsidP="00AE62A3">
            <w:pPr>
              <w:pStyle w:val="ListParagraph"/>
              <w:numPr>
                <w:ilvl w:val="0"/>
                <w:numId w:val="2"/>
              </w:numPr>
            </w:pPr>
            <w:r>
              <w:t>AOB</w:t>
            </w:r>
          </w:p>
          <w:p w14:paraId="1741E7CF" w14:textId="77777777" w:rsidR="00AE62A3" w:rsidRDefault="00AE62A3" w:rsidP="00AE62A3">
            <w:pPr>
              <w:pStyle w:val="ListParagraph"/>
            </w:pPr>
          </w:p>
        </w:tc>
        <w:tc>
          <w:tcPr>
            <w:tcW w:w="1904" w:type="dxa"/>
          </w:tcPr>
          <w:p w14:paraId="5666B2A9" w14:textId="77777777" w:rsidR="00AE62A3" w:rsidRDefault="00AE62A3"/>
          <w:p w14:paraId="3CE0DBA8" w14:textId="77777777" w:rsidR="008747F6" w:rsidRDefault="008747F6"/>
          <w:p w14:paraId="195782D7" w14:textId="77777777" w:rsidR="005B2BC3" w:rsidRDefault="005B2BC3">
            <w:r>
              <w:t>Steve</w:t>
            </w:r>
          </w:p>
          <w:p w14:paraId="4D433E88" w14:textId="77777777" w:rsidR="00E421B0" w:rsidRDefault="005B2BC3">
            <w:r>
              <w:t>S</w:t>
            </w:r>
            <w:r w:rsidR="00E421B0">
              <w:t>teve</w:t>
            </w:r>
          </w:p>
          <w:p w14:paraId="27C2CBBD" w14:textId="77777777" w:rsidR="0029308A" w:rsidRDefault="0029308A"/>
          <w:p w14:paraId="770ECD73" w14:textId="77777777" w:rsidR="0029308A" w:rsidRDefault="0029308A">
            <w:r>
              <w:t>DEA rep?</w:t>
            </w:r>
          </w:p>
          <w:p w14:paraId="0DECB309" w14:textId="77777777" w:rsidR="005B2BC3" w:rsidRDefault="005B2BC3"/>
          <w:p w14:paraId="4C9D164B" w14:textId="77777777" w:rsidR="005B2BC3" w:rsidRDefault="005B2BC3">
            <w:r>
              <w:t>As applicable</w:t>
            </w:r>
          </w:p>
        </w:tc>
      </w:tr>
    </w:tbl>
    <w:p w14:paraId="10982120" w14:textId="77777777" w:rsidR="00C73DC6" w:rsidRDefault="00C73DC6" w:rsidP="00E40F7A"/>
    <w:p w14:paraId="373B7D3A" w14:textId="77777777" w:rsidR="00C34BB6" w:rsidRDefault="00C34BB6">
      <w:r>
        <w:br w:type="page"/>
      </w:r>
    </w:p>
    <w:p w14:paraId="003FE12E" w14:textId="77777777" w:rsidR="00C34BB6" w:rsidRPr="00C34BB6" w:rsidRDefault="00C34BB6" w:rsidP="00C34BB6">
      <w:pPr>
        <w:pStyle w:val="Title"/>
      </w:pPr>
      <w:r w:rsidRPr="00C34BB6">
        <w:lastRenderedPageBreak/>
        <w:t>SADC TFCA Training and Capacity Building CoP</w:t>
      </w:r>
    </w:p>
    <w:p w14:paraId="2DAE63A6" w14:textId="77777777" w:rsidR="00920275" w:rsidRDefault="00920275" w:rsidP="00E40F7A"/>
    <w:p w14:paraId="1631AB27" w14:textId="77777777" w:rsidR="00C34BB6" w:rsidRDefault="00C34BB6" w:rsidP="00E40F7A">
      <w:r>
        <w:t>Chaired by Seth Maphalala</w:t>
      </w:r>
      <w:r>
        <w:tab/>
        <w:t>SNT: TFCA</w:t>
      </w:r>
    </w:p>
    <w:p w14:paraId="0A7FC2D9" w14:textId="77777777" w:rsidR="00E958B4" w:rsidRDefault="00E958B4" w:rsidP="00E40F7A">
      <w:r>
        <w:t>Attendance:</w:t>
      </w:r>
    </w:p>
    <w:tbl>
      <w:tblPr>
        <w:tblStyle w:val="GridTable5Dark-Accent51"/>
        <w:tblW w:w="0" w:type="auto"/>
        <w:jc w:val="center"/>
        <w:tblLook w:val="0420" w:firstRow="1" w:lastRow="0" w:firstColumn="0" w:lastColumn="0" w:noHBand="0" w:noVBand="1"/>
      </w:tblPr>
      <w:tblGrid>
        <w:gridCol w:w="1714"/>
        <w:gridCol w:w="1391"/>
        <w:gridCol w:w="1825"/>
        <w:gridCol w:w="1391"/>
      </w:tblGrid>
      <w:tr w:rsidR="00920275" w:rsidRPr="00C34BB6" w14:paraId="110A9D8C" w14:textId="77777777" w:rsidTr="006E7630">
        <w:trPr>
          <w:cnfStyle w:val="100000000000" w:firstRow="1" w:lastRow="0" w:firstColumn="0" w:lastColumn="0" w:oddVBand="0" w:evenVBand="0" w:oddHBand="0" w:evenHBand="0" w:firstRowFirstColumn="0" w:firstRowLastColumn="0" w:lastRowFirstColumn="0" w:lastRowLastColumn="0"/>
          <w:jc w:val="center"/>
        </w:trPr>
        <w:tc>
          <w:tcPr>
            <w:tcW w:w="0" w:type="auto"/>
          </w:tcPr>
          <w:p w14:paraId="6262C3D7" w14:textId="77777777" w:rsidR="00C34BB6" w:rsidRPr="00C34BB6" w:rsidRDefault="00C34BB6" w:rsidP="006D1931">
            <w:r>
              <w:t>Name</w:t>
            </w:r>
          </w:p>
        </w:tc>
        <w:tc>
          <w:tcPr>
            <w:tcW w:w="0" w:type="auto"/>
          </w:tcPr>
          <w:p w14:paraId="01FFF41D" w14:textId="77777777" w:rsidR="00C34BB6" w:rsidRPr="00C34BB6" w:rsidRDefault="00C34BB6" w:rsidP="006D1931">
            <w:r>
              <w:t>Organisation</w:t>
            </w:r>
          </w:p>
        </w:tc>
        <w:tc>
          <w:tcPr>
            <w:tcW w:w="0" w:type="auto"/>
          </w:tcPr>
          <w:p w14:paraId="5344AA51" w14:textId="77777777" w:rsidR="00C34BB6" w:rsidRPr="00C34BB6" w:rsidRDefault="00C34BB6" w:rsidP="006D1931">
            <w:r>
              <w:t>Name</w:t>
            </w:r>
          </w:p>
        </w:tc>
        <w:tc>
          <w:tcPr>
            <w:tcW w:w="0" w:type="auto"/>
          </w:tcPr>
          <w:p w14:paraId="0C46BE99" w14:textId="77777777" w:rsidR="00C34BB6" w:rsidRPr="00C34BB6" w:rsidRDefault="00C34BB6" w:rsidP="006D1931">
            <w:r>
              <w:t>Organisation</w:t>
            </w:r>
          </w:p>
        </w:tc>
      </w:tr>
      <w:tr w:rsidR="006E7630" w:rsidRPr="00C34BB6" w14:paraId="675E70C5" w14:textId="77777777" w:rsidTr="006E7630">
        <w:trPr>
          <w:cnfStyle w:val="000000100000" w:firstRow="0" w:lastRow="0" w:firstColumn="0" w:lastColumn="0" w:oddVBand="0" w:evenVBand="0" w:oddHBand="1" w:evenHBand="0" w:firstRowFirstColumn="0" w:firstRowLastColumn="0" w:lastRowFirstColumn="0" w:lastRowLastColumn="0"/>
          <w:jc w:val="center"/>
        </w:trPr>
        <w:tc>
          <w:tcPr>
            <w:tcW w:w="0" w:type="auto"/>
          </w:tcPr>
          <w:p w14:paraId="5F4AAC8B" w14:textId="77777777" w:rsidR="00C34BB6" w:rsidRPr="00C34BB6" w:rsidRDefault="00C34BB6" w:rsidP="00C34BB6">
            <w:r w:rsidRPr="00C34BB6">
              <w:t>Tawanda Gotosa</w:t>
            </w:r>
          </w:p>
        </w:tc>
        <w:tc>
          <w:tcPr>
            <w:tcW w:w="0" w:type="auto"/>
          </w:tcPr>
          <w:p w14:paraId="4ECA4289" w14:textId="77777777" w:rsidR="00C34BB6" w:rsidRPr="00C34BB6" w:rsidRDefault="00C34BB6" w:rsidP="006D1931">
            <w:r w:rsidRPr="00C34BB6">
              <w:t>SADC TFCA</w:t>
            </w:r>
          </w:p>
        </w:tc>
        <w:tc>
          <w:tcPr>
            <w:tcW w:w="0" w:type="auto"/>
          </w:tcPr>
          <w:p w14:paraId="40676D24" w14:textId="77777777" w:rsidR="00C34BB6" w:rsidRPr="00C34BB6" w:rsidRDefault="00C34BB6" w:rsidP="00DA6096">
            <w:r w:rsidRPr="00C34BB6">
              <w:t>Clara Bocchino</w:t>
            </w:r>
            <w:r>
              <w:t xml:space="preserve"> </w:t>
            </w:r>
          </w:p>
        </w:tc>
        <w:tc>
          <w:tcPr>
            <w:tcW w:w="0" w:type="auto"/>
          </w:tcPr>
          <w:p w14:paraId="5AD2E315" w14:textId="77777777" w:rsidR="00C34BB6" w:rsidRPr="00C34BB6" w:rsidRDefault="00C34BB6" w:rsidP="00DA6096">
            <w:r w:rsidRPr="00C34BB6">
              <w:t>Independent</w:t>
            </w:r>
          </w:p>
        </w:tc>
      </w:tr>
      <w:tr w:rsidR="00920275" w:rsidRPr="00C34BB6" w14:paraId="6E03E548" w14:textId="77777777" w:rsidTr="006E7630">
        <w:trPr>
          <w:jc w:val="center"/>
        </w:trPr>
        <w:tc>
          <w:tcPr>
            <w:tcW w:w="0" w:type="auto"/>
          </w:tcPr>
          <w:p w14:paraId="2D193519" w14:textId="77777777" w:rsidR="00C34BB6" w:rsidRPr="00C34BB6" w:rsidRDefault="00C34BB6" w:rsidP="00C34BB6">
            <w:r w:rsidRPr="00C34BB6">
              <w:t>Steve Johnson</w:t>
            </w:r>
          </w:p>
        </w:tc>
        <w:tc>
          <w:tcPr>
            <w:tcW w:w="0" w:type="auto"/>
          </w:tcPr>
          <w:p w14:paraId="3B16B967" w14:textId="77777777" w:rsidR="00C34BB6" w:rsidRPr="00C34BB6" w:rsidRDefault="00C34BB6" w:rsidP="006D1931">
            <w:r w:rsidRPr="00C34BB6">
              <w:t>Chemonics</w:t>
            </w:r>
          </w:p>
        </w:tc>
        <w:tc>
          <w:tcPr>
            <w:tcW w:w="0" w:type="auto"/>
          </w:tcPr>
          <w:p w14:paraId="71D37C88" w14:textId="77777777" w:rsidR="00C34BB6" w:rsidRPr="00C34BB6" w:rsidRDefault="00C34BB6" w:rsidP="00DA6096">
            <w:r w:rsidRPr="00C34BB6">
              <w:t>Ashwell Glasson</w:t>
            </w:r>
          </w:p>
        </w:tc>
        <w:tc>
          <w:tcPr>
            <w:tcW w:w="0" w:type="auto"/>
          </w:tcPr>
          <w:p w14:paraId="595D5E9F" w14:textId="77777777" w:rsidR="00C34BB6" w:rsidRPr="00C34BB6" w:rsidRDefault="00C34BB6" w:rsidP="00DA6096">
            <w:r w:rsidRPr="00C34BB6">
              <w:t>SAWC</w:t>
            </w:r>
          </w:p>
        </w:tc>
      </w:tr>
      <w:tr w:rsidR="00920275" w:rsidRPr="00C34BB6" w14:paraId="37D640E7" w14:textId="77777777" w:rsidTr="006E7630">
        <w:trPr>
          <w:cnfStyle w:val="000000100000" w:firstRow="0" w:lastRow="0" w:firstColumn="0" w:lastColumn="0" w:oddVBand="0" w:evenVBand="0" w:oddHBand="1" w:evenHBand="0" w:firstRowFirstColumn="0" w:firstRowLastColumn="0" w:lastRowFirstColumn="0" w:lastRowLastColumn="0"/>
          <w:jc w:val="center"/>
        </w:trPr>
        <w:tc>
          <w:tcPr>
            <w:tcW w:w="0" w:type="auto"/>
          </w:tcPr>
          <w:p w14:paraId="267FEE19" w14:textId="77777777" w:rsidR="00C34BB6" w:rsidRPr="00C34BB6" w:rsidRDefault="00C34BB6" w:rsidP="00C34BB6">
            <w:r w:rsidRPr="00C34BB6">
              <w:t>Piet Theron</w:t>
            </w:r>
          </w:p>
        </w:tc>
        <w:tc>
          <w:tcPr>
            <w:tcW w:w="0" w:type="auto"/>
          </w:tcPr>
          <w:p w14:paraId="14DE0123" w14:textId="77777777" w:rsidR="00C34BB6" w:rsidRPr="00C34BB6" w:rsidRDefault="00C34BB6" w:rsidP="006D1931">
            <w:r w:rsidRPr="00C34BB6">
              <w:t>GLTFCA</w:t>
            </w:r>
          </w:p>
        </w:tc>
        <w:tc>
          <w:tcPr>
            <w:tcW w:w="0" w:type="auto"/>
          </w:tcPr>
          <w:p w14:paraId="23DE5D34" w14:textId="77777777" w:rsidR="00C34BB6" w:rsidRPr="00C34BB6" w:rsidRDefault="00C34BB6" w:rsidP="00DA6096">
            <w:r>
              <w:t>Shee</w:t>
            </w:r>
            <w:r w:rsidRPr="00C34BB6">
              <w:t>na</w:t>
            </w:r>
            <w:r>
              <w:t xml:space="preserve"> Dale</w:t>
            </w:r>
          </w:p>
        </w:tc>
        <w:tc>
          <w:tcPr>
            <w:tcW w:w="0" w:type="auto"/>
          </w:tcPr>
          <w:p w14:paraId="24AA644A" w14:textId="77777777" w:rsidR="00C34BB6" w:rsidRPr="00C34BB6" w:rsidRDefault="00C34BB6" w:rsidP="00DA6096">
            <w:r w:rsidRPr="00C34BB6">
              <w:t>IFAW</w:t>
            </w:r>
          </w:p>
        </w:tc>
      </w:tr>
      <w:tr w:rsidR="006E7630" w:rsidRPr="00C34BB6" w14:paraId="2B901C0C" w14:textId="77777777" w:rsidTr="006E7630">
        <w:trPr>
          <w:jc w:val="center"/>
        </w:trPr>
        <w:tc>
          <w:tcPr>
            <w:tcW w:w="0" w:type="auto"/>
          </w:tcPr>
          <w:p w14:paraId="3184A57A" w14:textId="77777777" w:rsidR="00C34BB6" w:rsidRPr="00C34BB6" w:rsidRDefault="00C34BB6" w:rsidP="00C34BB6">
            <w:r w:rsidRPr="00C34BB6">
              <w:t>Stella Matsinye</w:t>
            </w:r>
            <w:r w:rsidRPr="00C34BB6">
              <w:tab/>
            </w:r>
          </w:p>
        </w:tc>
        <w:tc>
          <w:tcPr>
            <w:tcW w:w="0" w:type="auto"/>
          </w:tcPr>
          <w:p w14:paraId="48CCFEB4" w14:textId="77777777" w:rsidR="00C34BB6" w:rsidRPr="00C34BB6" w:rsidRDefault="00C34BB6" w:rsidP="006D1931">
            <w:r w:rsidRPr="00C34BB6">
              <w:t>IUCN</w:t>
            </w:r>
          </w:p>
        </w:tc>
        <w:tc>
          <w:tcPr>
            <w:tcW w:w="0" w:type="auto"/>
          </w:tcPr>
          <w:p w14:paraId="7B5420DE" w14:textId="77777777" w:rsidR="00C34BB6" w:rsidRDefault="00C34BB6" w:rsidP="00DA6096">
            <w:r w:rsidRPr="00C34BB6">
              <w:t>Mareile N-K</w:t>
            </w:r>
          </w:p>
        </w:tc>
        <w:tc>
          <w:tcPr>
            <w:tcW w:w="0" w:type="auto"/>
          </w:tcPr>
          <w:p w14:paraId="657DF0EA" w14:textId="77777777" w:rsidR="00C34BB6" w:rsidRPr="00C34BB6" w:rsidRDefault="00C34BB6" w:rsidP="00DA6096">
            <w:r w:rsidRPr="00C34BB6">
              <w:t>GIZ</w:t>
            </w:r>
          </w:p>
        </w:tc>
      </w:tr>
      <w:tr w:rsidR="00920275" w:rsidRPr="00C34BB6" w14:paraId="645E5A66" w14:textId="77777777" w:rsidTr="006E7630">
        <w:trPr>
          <w:cnfStyle w:val="000000100000" w:firstRow="0" w:lastRow="0" w:firstColumn="0" w:lastColumn="0" w:oddVBand="0" w:evenVBand="0" w:oddHBand="1" w:evenHBand="0" w:firstRowFirstColumn="0" w:firstRowLastColumn="0" w:lastRowFirstColumn="0" w:lastRowLastColumn="0"/>
          <w:jc w:val="center"/>
        </w:trPr>
        <w:tc>
          <w:tcPr>
            <w:tcW w:w="0" w:type="auto"/>
          </w:tcPr>
          <w:p w14:paraId="5290C66F" w14:textId="77777777" w:rsidR="00C34BB6" w:rsidRPr="00C34BB6" w:rsidRDefault="00C34BB6" w:rsidP="00C34BB6">
            <w:r>
              <w:t xml:space="preserve">Nakedi Mapatla </w:t>
            </w:r>
          </w:p>
        </w:tc>
        <w:tc>
          <w:tcPr>
            <w:tcW w:w="0" w:type="auto"/>
          </w:tcPr>
          <w:p w14:paraId="17197482" w14:textId="77777777" w:rsidR="00C34BB6" w:rsidRPr="00C34BB6" w:rsidRDefault="00C34BB6" w:rsidP="006D1931">
            <w:r w:rsidRPr="00C34BB6">
              <w:t>AWF</w:t>
            </w:r>
          </w:p>
        </w:tc>
        <w:tc>
          <w:tcPr>
            <w:tcW w:w="0" w:type="auto"/>
          </w:tcPr>
          <w:p w14:paraId="46974D15" w14:textId="77777777" w:rsidR="00C34BB6" w:rsidRDefault="00C34BB6" w:rsidP="00DA6096">
            <w:r w:rsidRPr="00C34BB6">
              <w:t>Lisa Blanken</w:t>
            </w:r>
            <w:r>
              <w:t xml:space="preserve"> </w:t>
            </w:r>
          </w:p>
        </w:tc>
        <w:tc>
          <w:tcPr>
            <w:tcW w:w="0" w:type="auto"/>
          </w:tcPr>
          <w:p w14:paraId="3574FEC3" w14:textId="77777777" w:rsidR="00C34BB6" w:rsidRPr="00C34BB6" w:rsidRDefault="00C34BB6" w:rsidP="00DA6096">
            <w:r w:rsidRPr="00C34BB6">
              <w:t>GIZ</w:t>
            </w:r>
          </w:p>
        </w:tc>
      </w:tr>
      <w:tr w:rsidR="00920275" w:rsidRPr="00C34BB6" w14:paraId="0747D8F1" w14:textId="77777777" w:rsidTr="006E7630">
        <w:trPr>
          <w:jc w:val="center"/>
        </w:trPr>
        <w:tc>
          <w:tcPr>
            <w:tcW w:w="0" w:type="auto"/>
          </w:tcPr>
          <w:p w14:paraId="12BEF9E9" w14:textId="77777777" w:rsidR="00C34BB6" w:rsidRPr="00C34BB6" w:rsidRDefault="00C34BB6" w:rsidP="006D1931"/>
        </w:tc>
        <w:tc>
          <w:tcPr>
            <w:tcW w:w="0" w:type="auto"/>
          </w:tcPr>
          <w:p w14:paraId="438626FA" w14:textId="77777777" w:rsidR="00C34BB6" w:rsidRPr="00C34BB6" w:rsidRDefault="00C34BB6" w:rsidP="006D1931"/>
        </w:tc>
        <w:tc>
          <w:tcPr>
            <w:tcW w:w="0" w:type="auto"/>
          </w:tcPr>
          <w:p w14:paraId="0C921BAA" w14:textId="77777777" w:rsidR="00C34BB6" w:rsidRPr="00C34BB6" w:rsidRDefault="00C34BB6" w:rsidP="00C34BB6">
            <w:r w:rsidRPr="00C34BB6">
              <w:t>Patience Gandiwa</w:t>
            </w:r>
          </w:p>
        </w:tc>
        <w:tc>
          <w:tcPr>
            <w:tcW w:w="0" w:type="auto"/>
          </w:tcPr>
          <w:p w14:paraId="5C3C103D" w14:textId="77777777" w:rsidR="00C34BB6" w:rsidRPr="00C34BB6" w:rsidRDefault="00C34BB6" w:rsidP="00DA6096">
            <w:r w:rsidRPr="00C34BB6">
              <w:t>ZimParks</w:t>
            </w:r>
          </w:p>
        </w:tc>
      </w:tr>
    </w:tbl>
    <w:p w14:paraId="6A5A54CA" w14:textId="77777777" w:rsidR="00C34BB6" w:rsidRDefault="00C34BB6" w:rsidP="00FE5E11"/>
    <w:p w14:paraId="2673AEEA" w14:textId="77777777" w:rsidR="00C34BB6" w:rsidRDefault="00C34BB6" w:rsidP="00C34BB6">
      <w:pPr>
        <w:pStyle w:val="Heading1"/>
      </w:pPr>
      <w:r>
        <w:t>Introduction and background</w:t>
      </w:r>
    </w:p>
    <w:p w14:paraId="3F09FF34" w14:textId="529BAFAE" w:rsidR="00C34BB6" w:rsidRDefault="00C34BB6" w:rsidP="00FE5E11">
      <w:r>
        <w:t>S</w:t>
      </w:r>
      <w:r w:rsidR="00297BEE">
        <w:t xml:space="preserve">eth </w:t>
      </w:r>
      <w:r>
        <w:t>M</w:t>
      </w:r>
      <w:r w:rsidR="00297BEE">
        <w:t>aphalala (Chair)</w:t>
      </w:r>
      <w:r>
        <w:t xml:space="preserve"> introduced the meeting and thanked both donors and participants.</w:t>
      </w:r>
    </w:p>
    <w:p w14:paraId="7D905091" w14:textId="77777777" w:rsidR="00C34BB6" w:rsidRDefault="00C34BB6" w:rsidP="00FE5E11">
      <w:r>
        <w:t>LB provided an introduction of t</w:t>
      </w:r>
      <w:r w:rsidR="00920275">
        <w:t xml:space="preserve">he SADC TFCA Network and portal, as well as its relation to the CoPs, as agreed </w:t>
      </w:r>
      <w:r w:rsidR="006E7630">
        <w:t>at the last Network meeting.</w:t>
      </w:r>
    </w:p>
    <w:p w14:paraId="246FD359" w14:textId="77777777" w:rsidR="00C34BB6" w:rsidRDefault="00C34BB6" w:rsidP="00920275">
      <w:pPr>
        <w:pStyle w:val="Heading1"/>
      </w:pPr>
      <w:r>
        <w:t>Summary of the CoP event held during the TFCA Network meeting in March 2017 (incl. recommendations)</w:t>
      </w:r>
    </w:p>
    <w:p w14:paraId="710BBCCB" w14:textId="77777777" w:rsidR="006E7630" w:rsidRDefault="006E7630" w:rsidP="006E7630">
      <w:r>
        <w:t>MNK</w:t>
      </w:r>
      <w:r w:rsidR="002D36AE">
        <w:t xml:space="preserve"> </w:t>
      </w:r>
      <w:r w:rsidR="008215E7">
        <w:t>summarised</w:t>
      </w:r>
      <w:r w:rsidR="002D36AE">
        <w:t xml:space="preserve"> that </w:t>
      </w:r>
      <w:r>
        <w:t xml:space="preserve">the </w:t>
      </w:r>
      <w:r w:rsidR="002D36AE">
        <w:t xml:space="preserve">CoP has now approximately </w:t>
      </w:r>
      <w:r>
        <w:t xml:space="preserve">20 </w:t>
      </w:r>
      <w:r w:rsidR="002D36AE">
        <w:t>members</w:t>
      </w:r>
      <w:r>
        <w:t xml:space="preserve">, who have been in </w:t>
      </w:r>
      <w:r w:rsidR="002D36AE">
        <w:t xml:space="preserve">one or the other way </w:t>
      </w:r>
      <w:r>
        <w:t xml:space="preserve">involved in the group activities. </w:t>
      </w:r>
      <w:r w:rsidR="002D36AE">
        <w:t xml:space="preserve">MNK to provide a list with the </w:t>
      </w:r>
      <w:r w:rsidR="00892219">
        <w:t xml:space="preserve">current membership </w:t>
      </w:r>
      <w:r w:rsidR="002D36AE">
        <w:t>plus contact deta</w:t>
      </w:r>
      <w:r w:rsidR="00892219">
        <w:t>i</w:t>
      </w:r>
      <w:r w:rsidR="002D36AE">
        <w:t>l</w:t>
      </w:r>
      <w:r w:rsidR="00892219">
        <w:t>s</w:t>
      </w:r>
      <w:r w:rsidR="002D36AE">
        <w:t xml:space="preserve">. </w:t>
      </w:r>
    </w:p>
    <w:p w14:paraId="6A56B22D" w14:textId="77777777" w:rsidR="00E958B4" w:rsidRDefault="006251DB" w:rsidP="006E7630">
      <w:r>
        <w:t xml:space="preserve">The draft mission </w:t>
      </w:r>
      <w:r w:rsidR="00E958B4">
        <w:t>of the CoP was presented as follows:</w:t>
      </w:r>
    </w:p>
    <w:p w14:paraId="1AFE610F" w14:textId="77777777" w:rsidR="00E958B4" w:rsidRPr="00983835" w:rsidRDefault="00E958B4" w:rsidP="00983835">
      <w:pPr>
        <w:pBdr>
          <w:top w:val="single" w:sz="4" w:space="1" w:color="0F243E" w:themeColor="text2" w:themeShade="80"/>
          <w:left w:val="single" w:sz="4" w:space="4" w:color="0F243E" w:themeColor="text2" w:themeShade="80"/>
          <w:bottom w:val="single" w:sz="4" w:space="1" w:color="0F243E" w:themeColor="text2" w:themeShade="80"/>
          <w:right w:val="single" w:sz="4" w:space="4" w:color="0F243E" w:themeColor="text2" w:themeShade="80"/>
        </w:pBdr>
        <w:shd w:val="clear" w:color="auto" w:fill="DBE5F1" w:themeFill="accent1" w:themeFillTint="33"/>
        <w:jc w:val="center"/>
        <w:rPr>
          <w:b/>
        </w:rPr>
      </w:pPr>
      <w:r w:rsidRPr="00983835">
        <w:rPr>
          <w:b/>
        </w:rPr>
        <w:t>To create a better understanding and awareness of the needs and opportunities of training and the contribution that training can make in addressing TFCA challenges, and mobilis</w:t>
      </w:r>
      <w:r w:rsidR="00983835" w:rsidRPr="00983835">
        <w:rPr>
          <w:b/>
        </w:rPr>
        <w:t>ing resources to address these</w:t>
      </w:r>
    </w:p>
    <w:p w14:paraId="2BDE47D4" w14:textId="77777777" w:rsidR="00E958B4" w:rsidRDefault="00E958B4" w:rsidP="006E7630">
      <w:r>
        <w:t xml:space="preserve">The </w:t>
      </w:r>
      <w:r w:rsidR="006251DB">
        <w:t xml:space="preserve">objectives as set in the draft ToR </w:t>
      </w:r>
      <w:r w:rsidR="00892219">
        <w:t xml:space="preserve">were </w:t>
      </w:r>
      <w:r w:rsidR="006251DB">
        <w:t>presented</w:t>
      </w:r>
      <w:r>
        <w:t xml:space="preserve"> as follows:</w:t>
      </w:r>
    </w:p>
    <w:p w14:paraId="09765F85" w14:textId="77777777" w:rsidR="00A20113" w:rsidRPr="00E958B4" w:rsidRDefault="00983835" w:rsidP="00E958B4">
      <w:pPr>
        <w:numPr>
          <w:ilvl w:val="0"/>
          <w:numId w:val="18"/>
        </w:numPr>
      </w:pPr>
      <w:r>
        <w:t>To u</w:t>
      </w:r>
      <w:r w:rsidR="0035551F" w:rsidRPr="00E958B4">
        <w:t xml:space="preserve">nderstand existing and future training </w:t>
      </w:r>
      <w:r w:rsidR="0035551F" w:rsidRPr="00E958B4">
        <w:rPr>
          <w:b/>
          <w:bCs/>
        </w:rPr>
        <w:t>needs</w:t>
      </w:r>
      <w:r w:rsidR="0035551F" w:rsidRPr="00E958B4">
        <w:t xml:space="preserve"> (spec. also in relation to rural communities)</w:t>
      </w:r>
    </w:p>
    <w:p w14:paraId="1D3B1A14" w14:textId="77777777" w:rsidR="00A20113" w:rsidRPr="00E958B4" w:rsidRDefault="00983835" w:rsidP="00E958B4">
      <w:pPr>
        <w:numPr>
          <w:ilvl w:val="0"/>
          <w:numId w:val="18"/>
        </w:numPr>
      </w:pPr>
      <w:r>
        <w:t>To g</w:t>
      </w:r>
      <w:r w:rsidR="0035551F" w:rsidRPr="00E958B4">
        <w:t xml:space="preserve">ain better overview / understanding of existing training </w:t>
      </w:r>
      <w:r w:rsidR="0035551F" w:rsidRPr="00E958B4">
        <w:rPr>
          <w:b/>
          <w:bCs/>
        </w:rPr>
        <w:t>offers</w:t>
      </w:r>
    </w:p>
    <w:p w14:paraId="7F6443E8" w14:textId="77777777" w:rsidR="00A20113" w:rsidRPr="00E958B4" w:rsidRDefault="00983835" w:rsidP="00E958B4">
      <w:pPr>
        <w:numPr>
          <w:ilvl w:val="0"/>
          <w:numId w:val="18"/>
        </w:numPr>
      </w:pPr>
      <w:r>
        <w:t>To generate</w:t>
      </w:r>
      <w:r w:rsidR="0035551F" w:rsidRPr="00E958B4">
        <w:t xml:space="preserve"> training </w:t>
      </w:r>
      <w:r w:rsidR="0035551F" w:rsidRPr="00E958B4">
        <w:rPr>
          <w:b/>
          <w:bCs/>
        </w:rPr>
        <w:t>standards</w:t>
      </w:r>
    </w:p>
    <w:p w14:paraId="448E28E5" w14:textId="77777777" w:rsidR="00A20113" w:rsidRPr="00E958B4" w:rsidRDefault="00983835" w:rsidP="00E958B4">
      <w:pPr>
        <w:numPr>
          <w:ilvl w:val="0"/>
          <w:numId w:val="18"/>
        </w:numPr>
      </w:pPr>
      <w:r w:rsidRPr="00983835">
        <w:rPr>
          <w:bCs/>
        </w:rPr>
        <w:t>To</w:t>
      </w:r>
      <w:r>
        <w:rPr>
          <w:b/>
          <w:bCs/>
        </w:rPr>
        <w:t xml:space="preserve"> Collaborate</w:t>
      </w:r>
      <w:r w:rsidR="0035551F" w:rsidRPr="00E958B4">
        <w:t xml:space="preserve"> between training institutes and TFCAs/MSs</w:t>
      </w:r>
    </w:p>
    <w:p w14:paraId="1CC3BEB9" w14:textId="77777777" w:rsidR="00A20113" w:rsidRPr="00E958B4" w:rsidRDefault="00983835" w:rsidP="00E958B4">
      <w:pPr>
        <w:numPr>
          <w:ilvl w:val="0"/>
          <w:numId w:val="18"/>
        </w:numPr>
      </w:pPr>
      <w:r w:rsidRPr="00983835">
        <w:rPr>
          <w:bCs/>
        </w:rPr>
        <w:lastRenderedPageBreak/>
        <w:t>To</w:t>
      </w:r>
      <w:r>
        <w:rPr>
          <w:b/>
          <w:bCs/>
        </w:rPr>
        <w:t xml:space="preserve"> monitor</w:t>
      </w:r>
      <w:r w:rsidR="0035551F" w:rsidRPr="00E958B4">
        <w:t xml:space="preserve"> of training impact</w:t>
      </w:r>
    </w:p>
    <w:p w14:paraId="1C787768" w14:textId="77777777" w:rsidR="00A20113" w:rsidRPr="00E958B4" w:rsidRDefault="00983835" w:rsidP="00E958B4">
      <w:pPr>
        <w:numPr>
          <w:ilvl w:val="0"/>
          <w:numId w:val="18"/>
        </w:numPr>
      </w:pPr>
      <w:r>
        <w:rPr>
          <w:b/>
          <w:bCs/>
        </w:rPr>
        <w:t>T</w:t>
      </w:r>
      <w:r w:rsidRPr="00983835">
        <w:rPr>
          <w:bCs/>
        </w:rPr>
        <w:t>o</w:t>
      </w:r>
      <w:r>
        <w:rPr>
          <w:b/>
          <w:bCs/>
        </w:rPr>
        <w:t xml:space="preserve"> engage p</w:t>
      </w:r>
      <w:r w:rsidR="0035551F" w:rsidRPr="00E958B4">
        <w:rPr>
          <w:b/>
          <w:bCs/>
        </w:rPr>
        <w:t>roactive</w:t>
      </w:r>
      <w:r>
        <w:rPr>
          <w:b/>
          <w:bCs/>
        </w:rPr>
        <w:t>ly</w:t>
      </w:r>
      <w:r w:rsidR="0035551F" w:rsidRPr="00E958B4">
        <w:rPr>
          <w:b/>
          <w:bCs/>
        </w:rPr>
        <w:t xml:space="preserve"> </w:t>
      </w:r>
      <w:r w:rsidR="0035551F" w:rsidRPr="00E958B4">
        <w:t>in addressing the challenges that TFCAs will face , e.g. climate change, threatened livelihoods, conflict over limited resources</w:t>
      </w:r>
    </w:p>
    <w:p w14:paraId="54898D19" w14:textId="77777777" w:rsidR="00983835" w:rsidRDefault="0035551F" w:rsidP="00983835">
      <w:pPr>
        <w:numPr>
          <w:ilvl w:val="0"/>
          <w:numId w:val="18"/>
        </w:numPr>
      </w:pPr>
      <w:r w:rsidRPr="00E958B4">
        <w:t>T</w:t>
      </w:r>
      <w:r w:rsidR="00983835">
        <w:t>o establish a regional t</w:t>
      </w:r>
      <w:r w:rsidRPr="00E958B4">
        <w:t xml:space="preserve">raining </w:t>
      </w:r>
      <w:r w:rsidRPr="00E958B4">
        <w:rPr>
          <w:b/>
          <w:bCs/>
        </w:rPr>
        <w:t>strategy</w:t>
      </w:r>
    </w:p>
    <w:p w14:paraId="3BF6DA63" w14:textId="77777777" w:rsidR="008215E7" w:rsidRPr="00E958B4" w:rsidRDefault="00983835" w:rsidP="00983835">
      <w:pPr>
        <w:numPr>
          <w:ilvl w:val="0"/>
          <w:numId w:val="18"/>
        </w:numPr>
      </w:pPr>
      <w:r>
        <w:t>To mobilise</w:t>
      </w:r>
      <w:r w:rsidR="0035551F" w:rsidRPr="00E958B4">
        <w:t xml:space="preserve"> of </w:t>
      </w:r>
      <w:r w:rsidR="0035551F" w:rsidRPr="00983835">
        <w:rPr>
          <w:b/>
          <w:bCs/>
        </w:rPr>
        <w:t>resources</w:t>
      </w:r>
    </w:p>
    <w:p w14:paraId="0824EDCC" w14:textId="77777777" w:rsidR="00892219" w:rsidRDefault="006251DB" w:rsidP="008215E7">
      <w:pPr>
        <w:rPr>
          <w:lang w:val="en-GB"/>
        </w:rPr>
      </w:pPr>
      <w:r>
        <w:t>This was followed by a brief summary of the programme held at the TFCA Network meeting, on 22 March 2017</w:t>
      </w:r>
      <w:r w:rsidR="00983835">
        <w:t>. The</w:t>
      </w:r>
      <w:r w:rsidR="00892219">
        <w:t xml:space="preserve"> first presentation in the meeting of 22 March</w:t>
      </w:r>
      <w:r w:rsidR="00983835">
        <w:t xml:space="preserve"> was held by Niels Meyer (KfW), who</w:t>
      </w:r>
      <w:r w:rsidR="00892219">
        <w:rPr>
          <w:lang w:val="en-GB"/>
        </w:rPr>
        <w:t xml:space="preserve"> presented on the s</w:t>
      </w:r>
      <w:r w:rsidR="0035551F" w:rsidRPr="00892219">
        <w:rPr>
          <w:lang w:val="en-GB"/>
        </w:rPr>
        <w:t xml:space="preserve">cope, purpose &amp; methodology of </w:t>
      </w:r>
      <w:r w:rsidR="00983835">
        <w:rPr>
          <w:lang w:val="en-GB"/>
        </w:rPr>
        <w:t xml:space="preserve">the </w:t>
      </w:r>
      <w:r w:rsidR="0035551F" w:rsidRPr="00892219">
        <w:rPr>
          <w:lang w:val="en-GB"/>
        </w:rPr>
        <w:t>KfW study (2012)</w:t>
      </w:r>
      <w:r w:rsidR="00892219">
        <w:rPr>
          <w:lang w:val="en-GB"/>
        </w:rPr>
        <w:t xml:space="preserve">. He mentioned that </w:t>
      </w:r>
      <w:r w:rsidR="008215E7" w:rsidRPr="00983835">
        <w:rPr>
          <w:b/>
          <w:lang w:val="en-GB"/>
        </w:rPr>
        <w:t>substantial</w:t>
      </w:r>
      <w:r w:rsidR="00892219" w:rsidRPr="00983835">
        <w:rPr>
          <w:b/>
          <w:lang w:val="en-GB"/>
        </w:rPr>
        <w:t xml:space="preserve"> </w:t>
      </w:r>
      <w:r w:rsidR="0035551F" w:rsidRPr="00983835">
        <w:rPr>
          <w:b/>
          <w:lang w:val="en-GB"/>
        </w:rPr>
        <w:t xml:space="preserve">quantitative gaps </w:t>
      </w:r>
      <w:r w:rsidR="00892219" w:rsidRPr="00983835">
        <w:rPr>
          <w:b/>
          <w:lang w:val="en-GB"/>
        </w:rPr>
        <w:t xml:space="preserve">had been identified in terms of </w:t>
      </w:r>
      <w:r w:rsidR="0035551F" w:rsidRPr="00983835">
        <w:rPr>
          <w:b/>
          <w:lang w:val="en-GB"/>
        </w:rPr>
        <w:t>formal qualifications &amp; short courses</w:t>
      </w:r>
      <w:r w:rsidR="00892219">
        <w:rPr>
          <w:lang w:val="en-GB"/>
        </w:rPr>
        <w:t xml:space="preserve">, and that </w:t>
      </w:r>
      <w:r w:rsidR="00892219" w:rsidRPr="00983835">
        <w:rPr>
          <w:b/>
          <w:lang w:val="en-GB"/>
        </w:rPr>
        <w:t>the b</w:t>
      </w:r>
      <w:r w:rsidR="0035551F" w:rsidRPr="00983835">
        <w:rPr>
          <w:b/>
          <w:lang w:val="en-GB"/>
        </w:rPr>
        <w:t>iggest need</w:t>
      </w:r>
      <w:r w:rsidR="00892219" w:rsidRPr="00983835">
        <w:rPr>
          <w:b/>
          <w:lang w:val="en-GB"/>
        </w:rPr>
        <w:t xml:space="preserve"> for training had been found amongst </w:t>
      </w:r>
      <w:r w:rsidR="0035551F" w:rsidRPr="00983835">
        <w:rPr>
          <w:b/>
          <w:lang w:val="en-GB"/>
        </w:rPr>
        <w:t>junior managers, CBOs, Portug</w:t>
      </w:r>
      <w:r w:rsidR="008215E7" w:rsidRPr="00983835">
        <w:rPr>
          <w:b/>
          <w:lang w:val="en-GB"/>
        </w:rPr>
        <w:t>uese</w:t>
      </w:r>
      <w:r w:rsidR="0035551F" w:rsidRPr="00983835">
        <w:rPr>
          <w:b/>
          <w:lang w:val="en-GB"/>
        </w:rPr>
        <w:t xml:space="preserve">-speaking, </w:t>
      </w:r>
      <w:r w:rsidR="00892219" w:rsidRPr="00983835">
        <w:rPr>
          <w:b/>
          <w:lang w:val="en-GB"/>
        </w:rPr>
        <w:t xml:space="preserve">at </w:t>
      </w:r>
      <w:r w:rsidR="0035551F" w:rsidRPr="00983835">
        <w:rPr>
          <w:b/>
          <w:lang w:val="en-GB"/>
        </w:rPr>
        <w:t xml:space="preserve">foundation level </w:t>
      </w:r>
      <w:r w:rsidR="00892219" w:rsidRPr="00983835">
        <w:rPr>
          <w:b/>
          <w:lang w:val="en-GB"/>
        </w:rPr>
        <w:t xml:space="preserve">and for </w:t>
      </w:r>
      <w:r w:rsidR="0035551F" w:rsidRPr="00983835">
        <w:rPr>
          <w:b/>
          <w:lang w:val="en-GB"/>
        </w:rPr>
        <w:t>short courses</w:t>
      </w:r>
      <w:r w:rsidR="00892219">
        <w:rPr>
          <w:lang w:val="en-GB"/>
        </w:rPr>
        <w:t>. He also mention</w:t>
      </w:r>
      <w:r w:rsidR="00983835">
        <w:rPr>
          <w:lang w:val="en-GB"/>
        </w:rPr>
        <w:t>ed</w:t>
      </w:r>
      <w:r w:rsidR="00892219">
        <w:rPr>
          <w:lang w:val="en-GB"/>
        </w:rPr>
        <w:t xml:space="preserve"> the q</w:t>
      </w:r>
      <w:r w:rsidR="0035551F" w:rsidRPr="00892219">
        <w:rPr>
          <w:lang w:val="en-GB"/>
        </w:rPr>
        <w:t>ualitative capacity gaps</w:t>
      </w:r>
      <w:r w:rsidR="00892219">
        <w:rPr>
          <w:lang w:val="en-GB"/>
        </w:rPr>
        <w:t xml:space="preserve"> that had been identified through this study and briefly </w:t>
      </w:r>
      <w:r w:rsidR="0035551F" w:rsidRPr="00892219">
        <w:rPr>
          <w:lang w:val="en-GB"/>
        </w:rPr>
        <w:t xml:space="preserve">proposed </w:t>
      </w:r>
      <w:r w:rsidR="00892219">
        <w:rPr>
          <w:lang w:val="en-GB"/>
        </w:rPr>
        <w:t xml:space="preserve">the </w:t>
      </w:r>
      <w:r w:rsidR="0035551F" w:rsidRPr="00892219">
        <w:rPr>
          <w:lang w:val="en-GB"/>
        </w:rPr>
        <w:t xml:space="preserve">funding framework </w:t>
      </w:r>
      <w:r w:rsidR="00892219">
        <w:rPr>
          <w:lang w:val="en-GB"/>
        </w:rPr>
        <w:t xml:space="preserve">by the </w:t>
      </w:r>
      <w:r w:rsidR="0035551F" w:rsidRPr="00892219">
        <w:rPr>
          <w:lang w:val="en-GB"/>
        </w:rPr>
        <w:t>German/ SADC contribution</w:t>
      </w:r>
      <w:r w:rsidR="00892219">
        <w:rPr>
          <w:lang w:val="en-GB"/>
        </w:rPr>
        <w:t>.</w:t>
      </w:r>
    </w:p>
    <w:p w14:paraId="0BC358D2" w14:textId="77777777" w:rsidR="00A20113" w:rsidRPr="0012093E" w:rsidRDefault="00892219" w:rsidP="008215E7">
      <w:r>
        <w:rPr>
          <w:lang w:val="en-GB"/>
        </w:rPr>
        <w:t xml:space="preserve">On this context </w:t>
      </w:r>
      <w:r w:rsidR="006251DB">
        <w:t xml:space="preserve">Ashwell </w:t>
      </w:r>
      <w:r>
        <w:t xml:space="preserve">(SAWC) was requested </w:t>
      </w:r>
      <w:r w:rsidR="006251DB">
        <w:t xml:space="preserve">to give </w:t>
      </w:r>
      <w:r>
        <w:t xml:space="preserve">an </w:t>
      </w:r>
      <w:r w:rsidR="006251DB">
        <w:t xml:space="preserve">update on the </w:t>
      </w:r>
      <w:r>
        <w:t xml:space="preserve">progress of the KfW-funded capacity development programme at a later point during the meeting. In the meeting of 22 March, </w:t>
      </w:r>
      <w:r w:rsidR="006251DB">
        <w:t xml:space="preserve">MNK </w:t>
      </w:r>
      <w:r>
        <w:t>had</w:t>
      </w:r>
      <w:r w:rsidR="006251DB">
        <w:t xml:space="preserve"> presented the findings from the needs priorities rapid assessment, which </w:t>
      </w:r>
      <w:r w:rsidR="0012093E">
        <w:t>were amongst others: that t</w:t>
      </w:r>
      <w:r w:rsidR="0035551F" w:rsidRPr="0012093E">
        <w:rPr>
          <w:lang w:val="en-GB"/>
        </w:rPr>
        <w:t xml:space="preserve">raining priorities </w:t>
      </w:r>
      <w:r w:rsidR="008215E7" w:rsidRPr="0012093E">
        <w:t>differ</w:t>
      </w:r>
      <w:r w:rsidR="0035551F" w:rsidRPr="0012093E">
        <w:t xml:space="preserve"> amongst TFCAs/countries</w:t>
      </w:r>
      <w:r w:rsidR="0012093E">
        <w:t>, that there is n</w:t>
      </w:r>
      <w:r w:rsidR="0035551F" w:rsidRPr="0012093E">
        <w:t>eed for training on TFCAs, community engagement, law enforcement/anti-poaching, tourism</w:t>
      </w:r>
      <w:r w:rsidR="0012093E">
        <w:t xml:space="preserve">, that short courses are preferred over long-term training; and that </w:t>
      </w:r>
      <w:r w:rsidR="0035551F" w:rsidRPr="0012093E">
        <w:t xml:space="preserve">TFCAs </w:t>
      </w:r>
      <w:r w:rsidR="0012093E">
        <w:t xml:space="preserve">basically </w:t>
      </w:r>
      <w:r w:rsidR="0035551F" w:rsidRPr="0012093E">
        <w:t xml:space="preserve">don’t have </w:t>
      </w:r>
      <w:r w:rsidR="0012093E">
        <w:t xml:space="preserve">any </w:t>
      </w:r>
      <w:r w:rsidR="0035551F" w:rsidRPr="0012093E">
        <w:t>funds for training</w:t>
      </w:r>
      <w:r w:rsidR="0012093E">
        <w:t>.</w:t>
      </w:r>
    </w:p>
    <w:p w14:paraId="60331C1F" w14:textId="77777777" w:rsidR="005A1EBC" w:rsidRDefault="008215E7" w:rsidP="008215E7">
      <w:r>
        <w:t>P</w:t>
      </w:r>
      <w:r w:rsidR="006251DB">
        <w:t xml:space="preserve">T </w:t>
      </w:r>
      <w:r w:rsidR="005A1EBC">
        <w:t xml:space="preserve">then </w:t>
      </w:r>
      <w:r w:rsidR="00892219">
        <w:t xml:space="preserve">had </w:t>
      </w:r>
      <w:r w:rsidR="006251DB">
        <w:t xml:space="preserve">presented on the </w:t>
      </w:r>
      <w:r w:rsidR="005A1EBC">
        <w:t>training needs asses</w:t>
      </w:r>
      <w:r w:rsidR="00983835">
        <w:t xml:space="preserve">sment, which the </w:t>
      </w:r>
      <w:r w:rsidR="006251DB">
        <w:t xml:space="preserve">GLTFCA </w:t>
      </w:r>
      <w:r w:rsidR="005A1EBC">
        <w:t>has been involved in together with the SAWC.</w:t>
      </w:r>
    </w:p>
    <w:p w14:paraId="23CAB511" w14:textId="77777777" w:rsidR="005A1EBC" w:rsidRPr="005A1EBC" w:rsidRDefault="006251DB" w:rsidP="00983835">
      <w:r>
        <w:t xml:space="preserve">PG </w:t>
      </w:r>
      <w:r w:rsidR="005A1EBC">
        <w:t xml:space="preserve">had then presented the </w:t>
      </w:r>
      <w:r>
        <w:t xml:space="preserve">findings </w:t>
      </w:r>
      <w:r w:rsidR="005A1EBC">
        <w:t xml:space="preserve">of an </w:t>
      </w:r>
      <w:r>
        <w:t xml:space="preserve">assessment </w:t>
      </w:r>
      <w:r w:rsidR="005A1EBC">
        <w:t xml:space="preserve">of training offers for TFCAs in the SADC region that was also conducted in early 2017 in preparation for the meeting held on 22 March. The institutes that had replied were: </w:t>
      </w:r>
      <w:r w:rsidR="005A1EBC" w:rsidRPr="005A1EBC">
        <w:rPr>
          <w:lang w:val="en-GB"/>
        </w:rPr>
        <w:t xml:space="preserve">SAWC, the </w:t>
      </w:r>
      <w:r w:rsidR="005A1EBC">
        <w:rPr>
          <w:lang w:val="en-GB"/>
        </w:rPr>
        <w:t>South African College of Tourism (</w:t>
      </w:r>
      <w:r w:rsidR="005A1EBC" w:rsidRPr="005A1EBC">
        <w:rPr>
          <w:lang w:val="en-GB"/>
        </w:rPr>
        <w:t>SACT</w:t>
      </w:r>
      <w:r w:rsidR="005A1EBC">
        <w:rPr>
          <w:lang w:val="en-GB"/>
        </w:rPr>
        <w:t>)</w:t>
      </w:r>
      <w:r w:rsidR="005A1EBC" w:rsidRPr="005A1EBC">
        <w:rPr>
          <w:lang w:val="en-GB"/>
        </w:rPr>
        <w:t>, Mweka College of African Wildlife Management</w:t>
      </w:r>
      <w:r w:rsidR="005A1EBC">
        <w:rPr>
          <w:lang w:val="en-GB"/>
        </w:rPr>
        <w:t xml:space="preserve">. It was found that the </w:t>
      </w:r>
      <w:r w:rsidR="005A1EBC" w:rsidRPr="005A1EBC">
        <w:rPr>
          <w:lang w:val="en-GB"/>
        </w:rPr>
        <w:t>SAWC offers specific TFCA training (formal qualifications &amp; short courses)</w:t>
      </w:r>
      <w:r w:rsidR="00670067">
        <w:rPr>
          <w:lang w:val="en-GB"/>
        </w:rPr>
        <w:t>.</w:t>
      </w:r>
      <w:r w:rsidR="005A1EBC" w:rsidRPr="005A1EBC">
        <w:rPr>
          <w:lang w:val="en-GB"/>
        </w:rPr>
        <w:t xml:space="preserve"> </w:t>
      </w:r>
    </w:p>
    <w:p w14:paraId="329124EB" w14:textId="77777777" w:rsidR="006251DB" w:rsidRDefault="00433B20" w:rsidP="006251DB">
      <w:r>
        <w:t>The r</w:t>
      </w:r>
      <w:r w:rsidR="00D52C25">
        <w:t>ecommendations</w:t>
      </w:r>
      <w:r>
        <w:t xml:space="preserve"> that</w:t>
      </w:r>
      <w:r w:rsidR="00EF310B">
        <w:t xml:space="preserve"> came out of the meeting on 22 M</w:t>
      </w:r>
      <w:r>
        <w:t>arch included the following:</w:t>
      </w:r>
    </w:p>
    <w:p w14:paraId="054219C0" w14:textId="77777777" w:rsidR="00D52C25" w:rsidRPr="006114FB" w:rsidRDefault="00B4211F" w:rsidP="00983835">
      <w:pPr>
        <w:numPr>
          <w:ilvl w:val="0"/>
          <w:numId w:val="8"/>
        </w:numPr>
        <w:ind w:left="714" w:hanging="357"/>
        <w:contextualSpacing/>
      </w:pPr>
      <w:r>
        <w:t>Need to develop t</w:t>
      </w:r>
      <w:r w:rsidR="00D52C25">
        <w:t>ailor-made training for TFCAs</w:t>
      </w:r>
      <w:r w:rsidR="00EE386D">
        <w:t xml:space="preserve"> that also include </w:t>
      </w:r>
      <w:r w:rsidR="00EE386D" w:rsidRPr="00EE386D">
        <w:rPr>
          <w:lang w:val="en-US"/>
        </w:rPr>
        <w:t>in-house/on-site training</w:t>
      </w:r>
      <w:r w:rsidR="008215E7">
        <w:rPr>
          <w:lang w:val="en-US"/>
        </w:rPr>
        <w:t xml:space="preserve"> programme</w:t>
      </w:r>
      <w:r w:rsidR="00EE386D" w:rsidRPr="00EE386D">
        <w:rPr>
          <w:lang w:val="en-US"/>
        </w:rPr>
        <w:t xml:space="preserve"> and make use of online learning</w:t>
      </w:r>
      <w:r w:rsidR="00EE386D">
        <w:rPr>
          <w:lang w:val="en-US"/>
        </w:rPr>
        <w:t xml:space="preserve"> and may include training</w:t>
      </w:r>
      <w:r w:rsidR="008215E7">
        <w:rPr>
          <w:lang w:val="en-US"/>
        </w:rPr>
        <w:t xml:space="preserve"> programmes </w:t>
      </w:r>
      <w:r w:rsidR="00EE386D">
        <w:rPr>
          <w:lang w:val="en-US"/>
        </w:rPr>
        <w:t>offered in local languages</w:t>
      </w:r>
      <w:r w:rsidR="00EF310B">
        <w:rPr>
          <w:lang w:val="en-US"/>
        </w:rPr>
        <w:t>;</w:t>
      </w:r>
    </w:p>
    <w:p w14:paraId="53E28E13" w14:textId="77777777" w:rsidR="00983835" w:rsidRDefault="00EF310B" w:rsidP="00983835">
      <w:pPr>
        <w:numPr>
          <w:ilvl w:val="0"/>
          <w:numId w:val="8"/>
        </w:numPr>
        <w:ind w:left="714" w:hanging="357"/>
        <w:contextualSpacing/>
      </w:pPr>
      <w:r>
        <w:rPr>
          <w:lang w:val="en-US"/>
        </w:rPr>
        <w:t>N</w:t>
      </w:r>
      <w:r w:rsidR="00EE386D" w:rsidRPr="00B4211F">
        <w:rPr>
          <w:lang w:val="en-US"/>
        </w:rPr>
        <w:t>eed to incorporate Marine Protected Areas into existing training offerings and general thinking about trainings</w:t>
      </w:r>
      <w:r>
        <w:rPr>
          <w:lang w:val="en-US"/>
        </w:rPr>
        <w:t>;</w:t>
      </w:r>
    </w:p>
    <w:p w14:paraId="35715900" w14:textId="77777777" w:rsidR="00983835" w:rsidRDefault="00EF310B" w:rsidP="00983835">
      <w:pPr>
        <w:numPr>
          <w:ilvl w:val="0"/>
          <w:numId w:val="8"/>
        </w:numPr>
        <w:ind w:left="714" w:hanging="357"/>
        <w:contextualSpacing/>
      </w:pPr>
      <w:r>
        <w:t>U</w:t>
      </w:r>
      <w:r w:rsidR="00B4211F">
        <w:t xml:space="preserve">ltimately training should improve situation on the ground / </w:t>
      </w:r>
      <w:r w:rsidR="00D52C25">
        <w:t xml:space="preserve">M&amp;E of the impact of training on the ground </w:t>
      </w:r>
      <w:r w:rsidR="00B4211F">
        <w:t>important</w:t>
      </w:r>
      <w:r>
        <w:t>;</w:t>
      </w:r>
    </w:p>
    <w:p w14:paraId="587036A1" w14:textId="34BD29AB" w:rsidR="00983835" w:rsidRDefault="00D52C25" w:rsidP="00983835">
      <w:pPr>
        <w:numPr>
          <w:ilvl w:val="0"/>
          <w:numId w:val="8"/>
        </w:numPr>
        <w:ind w:left="714" w:hanging="357"/>
        <w:contextualSpacing/>
      </w:pPr>
      <w:r>
        <w:t>Foster more discussion and collaborations between training centres</w:t>
      </w:r>
      <w:r w:rsidR="00B4211F">
        <w:t xml:space="preserve"> / it was proposed to have a meeting between SADC Centres of Excellence</w:t>
      </w:r>
      <w:r w:rsidR="00297BEE">
        <w:t xml:space="preserve"> (CoE)</w:t>
      </w:r>
      <w:r w:rsidR="00EF310B">
        <w:t>;</w:t>
      </w:r>
      <w:r w:rsidR="00B4211F">
        <w:t xml:space="preserve"> </w:t>
      </w:r>
    </w:p>
    <w:p w14:paraId="63ECB253" w14:textId="77777777" w:rsidR="00983835" w:rsidRDefault="00D52C25" w:rsidP="00983835">
      <w:pPr>
        <w:numPr>
          <w:ilvl w:val="0"/>
          <w:numId w:val="8"/>
        </w:numPr>
        <w:ind w:left="714" w:hanging="357"/>
        <w:contextualSpacing/>
      </w:pPr>
      <w:r>
        <w:t xml:space="preserve">SADC Secretariat to facilitate </w:t>
      </w:r>
      <w:r w:rsidR="00B4211F">
        <w:t xml:space="preserve">issues of permits, </w:t>
      </w:r>
      <w:r>
        <w:t>immigration</w:t>
      </w:r>
      <w:r w:rsidR="00B4211F">
        <w:t xml:space="preserve"> matters directly related to the trainings</w:t>
      </w:r>
      <w:r>
        <w:t xml:space="preserve">, </w:t>
      </w:r>
      <w:r w:rsidR="00B4211F">
        <w:t>and play a role in the mutual</w:t>
      </w:r>
      <w:r w:rsidR="008215E7">
        <w:t xml:space="preserve"> </w:t>
      </w:r>
      <w:r>
        <w:t>recognition of qualifications</w:t>
      </w:r>
      <w:r w:rsidR="00B4211F">
        <w:t xml:space="preserve"> within the region</w:t>
      </w:r>
      <w:r w:rsidR="00EF310B">
        <w:t>; and</w:t>
      </w:r>
    </w:p>
    <w:p w14:paraId="0A821351" w14:textId="77777777" w:rsidR="00D52C25" w:rsidRDefault="00D52C25" w:rsidP="00983835">
      <w:pPr>
        <w:numPr>
          <w:ilvl w:val="0"/>
          <w:numId w:val="8"/>
        </w:numPr>
        <w:ind w:left="714" w:hanging="357"/>
        <w:contextualSpacing/>
      </w:pPr>
      <w:r>
        <w:t>T</w:t>
      </w:r>
      <w:r w:rsidR="00983835">
        <w:t>o t</w:t>
      </w:r>
      <w:r>
        <w:t>able recommendations to SADC Structures, including Council of Ministers.</w:t>
      </w:r>
    </w:p>
    <w:p w14:paraId="3B2BB2E3" w14:textId="77777777" w:rsidR="00D52C25" w:rsidRDefault="00726673" w:rsidP="00D52C25">
      <w:r>
        <w:lastRenderedPageBreak/>
        <w:t>TG noted that this work goes beyond the FANR directorate, and should be taken up to appropriate directorate. In terms of helping the Centres of Excellence getting together, this CoP should help in developing standards for training to help regiona</w:t>
      </w:r>
      <w:r w:rsidR="00983835">
        <w:t>l recognition. Also, not all CoEs</w:t>
      </w:r>
      <w:r>
        <w:t xml:space="preserve"> are at the same level, so facilitation of meeting and funding is difficult, but it is of no doubt that they need to get together to charter a way forward. The KfW project has a field training component, so the priority is standardisation of training and create a regional forum. </w:t>
      </w:r>
      <w:r w:rsidR="00272244">
        <w:t>He also said that FANR would like to ask SAWC to lead this process.</w:t>
      </w:r>
    </w:p>
    <w:p w14:paraId="167A8B9B" w14:textId="77777777" w:rsidR="00726673" w:rsidRDefault="00726673" w:rsidP="00D52C25">
      <w:r>
        <w:t xml:space="preserve">AG confirms that SAWC welcomes working together and collaboration. SAWC is unsure on how to report back on the Education and Training Protocol to SADC, so </w:t>
      </w:r>
      <w:r w:rsidR="00E77697">
        <w:t xml:space="preserve">it is important to get the CoE together, and with SADC, to set a path forward. SAWC would like to participate but not lead the process. </w:t>
      </w:r>
      <w:r w:rsidR="00272244">
        <w:t xml:space="preserve">SAWC also would like to help in developing the capacities of other training institutes. </w:t>
      </w:r>
      <w:r w:rsidR="00E77697">
        <w:t>Some of the background work on these issues has been done by SAWC, and it would be useful to share.</w:t>
      </w:r>
    </w:p>
    <w:p w14:paraId="764A6450" w14:textId="77777777" w:rsidR="00E77697" w:rsidRDefault="00E77697" w:rsidP="00D52C25">
      <w:r>
        <w:t xml:space="preserve">NM raises a point on Assessment. Would there be an assessment to evaluate the impact of the standards, the programmes, and their implementation. </w:t>
      </w:r>
      <w:r w:rsidR="009D6CEF">
        <w:t xml:space="preserve"> </w:t>
      </w:r>
      <w:r>
        <w:t xml:space="preserve">TG through the CoE mechanism there is room for assessment, but it will be part of the CoE meeting to address. Through KfW funding a path can be set for this cooperation to happen for joint training. </w:t>
      </w:r>
      <w:r w:rsidR="006605E1">
        <w:t xml:space="preserve">AG felt that the </w:t>
      </w:r>
      <w:r>
        <w:t xml:space="preserve">CoP </w:t>
      </w:r>
      <w:r w:rsidR="006605E1">
        <w:t xml:space="preserve">maybe could play a role in that and make </w:t>
      </w:r>
      <w:r>
        <w:t>recommend</w:t>
      </w:r>
      <w:r w:rsidR="006605E1">
        <w:t>ations t</w:t>
      </w:r>
      <w:r>
        <w:t xml:space="preserve">o the CoE meeting. </w:t>
      </w:r>
    </w:p>
    <w:p w14:paraId="1EF75B4F" w14:textId="77777777" w:rsidR="00051F4C" w:rsidRDefault="00051F4C" w:rsidP="00D52C25">
      <w:r>
        <w:t xml:space="preserve">AG suggests evaluators should have objective distance from the CoEs and the process. </w:t>
      </w:r>
    </w:p>
    <w:p w14:paraId="12769E20" w14:textId="0B524B10" w:rsidR="00051F4C" w:rsidRDefault="00051F4C" w:rsidP="00D52C25">
      <w:r>
        <w:t xml:space="preserve">PG </w:t>
      </w:r>
      <w:r w:rsidR="00D146D0">
        <w:t>highlighted that it is important to define what it is that is meant by a ‘Centre of Excellence (</w:t>
      </w:r>
      <w:r>
        <w:t>Co</w:t>
      </w:r>
      <w:r w:rsidR="00C44BE3">
        <w:t>E</w:t>
      </w:r>
      <w:r w:rsidR="00D146D0">
        <w:t xml:space="preserve">)’. She mentioned that </w:t>
      </w:r>
      <w:r w:rsidR="00C44BE3">
        <w:t>SARUA</w:t>
      </w:r>
      <w:r w:rsidR="003A17A0">
        <w:t xml:space="preserve"> </w:t>
      </w:r>
      <w:r>
        <w:t xml:space="preserve">includes regional universities, which were part of </w:t>
      </w:r>
      <w:r w:rsidR="00D146D0">
        <w:t>the</w:t>
      </w:r>
      <w:r>
        <w:t xml:space="preserve"> study (like UFS), but as CoE part of it or not? We should discuss for a recommendation to provide a list of CoE and related institutions, to define what a CoE is.</w:t>
      </w:r>
    </w:p>
    <w:p w14:paraId="6B9CDC7B" w14:textId="77777777" w:rsidR="000B56DB" w:rsidRDefault="000B56DB" w:rsidP="00D52C25">
      <w:r>
        <w:t>It was proposed to inquire what the procedure would be to get the recognition as a Centre of Specialisation for TFCA Training, specifically, and to engage with the SADC Skills Development Division about this.</w:t>
      </w:r>
    </w:p>
    <w:p w14:paraId="7BC356FC" w14:textId="77777777" w:rsidR="00051F4C" w:rsidRDefault="00051F4C" w:rsidP="00D52C25">
      <w:r>
        <w:t>MNK note</w:t>
      </w:r>
      <w:r w:rsidR="00D146D0">
        <w:t>d</w:t>
      </w:r>
      <w:r>
        <w:t xml:space="preserve"> </w:t>
      </w:r>
      <w:r w:rsidR="00D146D0">
        <w:t xml:space="preserve">that </w:t>
      </w:r>
      <w:r>
        <w:t xml:space="preserve">SADC has a Protocol which defines </w:t>
      </w:r>
      <w:r w:rsidR="00D146D0">
        <w:t>the concept of ‘</w:t>
      </w:r>
      <w:r>
        <w:t>CoE</w:t>
      </w:r>
      <w:r w:rsidR="00D146D0">
        <w:t xml:space="preserve">’. </w:t>
      </w:r>
      <w:r w:rsidR="00CE237D">
        <w:t>According</w:t>
      </w:r>
      <w:r w:rsidR="00D146D0">
        <w:t xml:space="preserve"> to this document, </w:t>
      </w:r>
      <w:r>
        <w:t xml:space="preserve">CoEs are for research and Centre of Specialisation are for training. Here we actually use these expression incorrectly. This was supported by AG who can provide the protocol and decisions thereof, including the position of accredited institutions. He will share </w:t>
      </w:r>
      <w:r w:rsidR="00D146D0">
        <w:t xml:space="preserve">it </w:t>
      </w:r>
      <w:r>
        <w:t xml:space="preserve">in the group email. </w:t>
      </w:r>
    </w:p>
    <w:p w14:paraId="0FED0EF1" w14:textId="77777777" w:rsidR="00DA28DF" w:rsidRDefault="00051F4C" w:rsidP="00D52C25">
      <w:r>
        <w:t>CB suggests that regardless of the SADC specifications, all training centres offering TFCA-based training should be part of this focus group stemming from the CoP</w:t>
      </w:r>
      <w:r w:rsidR="00DA28DF">
        <w:t>, to see how they can support each other. LB supported this and mentioned that a CoE meeting was planned for July, with PPF wanted to do an independent meeting. The difficulty is to find an independent leadership for a regional course</w:t>
      </w:r>
      <w:r w:rsidR="00CE237D">
        <w:t>. Specifically, who would lead the process objectively?</w:t>
      </w:r>
      <w:r w:rsidR="00CE237D" w:rsidDel="00CE237D">
        <w:t xml:space="preserve"> </w:t>
      </w:r>
      <w:r w:rsidR="00DA28DF">
        <w:t>TG remarked that the leadership should mirror SADC chairing, and for now it is RSA. SADC c</w:t>
      </w:r>
      <w:r w:rsidR="00077974">
        <w:t xml:space="preserve">ould </w:t>
      </w:r>
      <w:r w:rsidR="00DA28DF">
        <w:t xml:space="preserve">support </w:t>
      </w:r>
      <w:r w:rsidR="00077974">
        <w:t>by</w:t>
      </w:r>
      <w:r w:rsidR="00DA28DF">
        <w:t xml:space="preserve"> sharing documents, and facilitating new institutions, which are not yet CoE </w:t>
      </w:r>
      <w:r w:rsidR="00077974">
        <w:t xml:space="preserve">to </w:t>
      </w:r>
      <w:r w:rsidR="00CE237D">
        <w:t>become involved</w:t>
      </w:r>
      <w:r w:rsidR="00DA28DF">
        <w:t xml:space="preserve"> so that </w:t>
      </w:r>
      <w:r w:rsidR="00077974">
        <w:t xml:space="preserve">it can be ensured </w:t>
      </w:r>
      <w:r w:rsidR="00DA28DF">
        <w:t>that the best training is provided</w:t>
      </w:r>
      <w:r w:rsidR="00077974">
        <w:t xml:space="preserve"> to the industry</w:t>
      </w:r>
      <w:r w:rsidR="00DA28DF">
        <w:t>.</w:t>
      </w:r>
    </w:p>
    <w:p w14:paraId="1462DDBD" w14:textId="77777777" w:rsidR="00DA28DF" w:rsidRDefault="00DA28DF" w:rsidP="00D52C25">
      <w:r>
        <w:t xml:space="preserve">Chair: we will think about this and make a specific recommendation, for the 2018 planning. </w:t>
      </w:r>
    </w:p>
    <w:p w14:paraId="2FE15941" w14:textId="77777777" w:rsidR="00DA28DF" w:rsidRDefault="00DA28DF" w:rsidP="00D52C25">
      <w:r>
        <w:t xml:space="preserve">PG requested further specification on the CoE/CoS to be included in the ToR of the CoP. </w:t>
      </w:r>
    </w:p>
    <w:p w14:paraId="7329D1ED" w14:textId="77777777" w:rsidR="00DA28DF" w:rsidRDefault="00DA28DF" w:rsidP="00D52C25">
      <w:r>
        <w:lastRenderedPageBreak/>
        <w:t>Ch</w:t>
      </w:r>
      <w:r w:rsidR="00C00DC4">
        <w:t>air: we should look at what SARU</w:t>
      </w:r>
      <w:r>
        <w:t xml:space="preserve">A does to avoid duplications. </w:t>
      </w:r>
    </w:p>
    <w:p w14:paraId="26675D99" w14:textId="2FFDBF8B" w:rsidR="00DA28DF" w:rsidRDefault="00DA28DF" w:rsidP="00D52C25">
      <w:r>
        <w:t xml:space="preserve">SJ asked how has the CoP specified what </w:t>
      </w:r>
      <w:r w:rsidR="003F377D">
        <w:t>the</w:t>
      </w:r>
      <w:r>
        <w:t xml:space="preserve"> niche is</w:t>
      </w:r>
      <w:r w:rsidR="00077974">
        <w:t>; what is special / specific about TFCA training</w:t>
      </w:r>
      <w:r>
        <w:t xml:space="preserve">? </w:t>
      </w:r>
    </w:p>
    <w:p w14:paraId="667E6AA8" w14:textId="77777777" w:rsidR="00DA28DF" w:rsidRDefault="00DA28DF" w:rsidP="00D52C25">
      <w:r>
        <w:t>CB remarked that this discussion has happened and should be finalised as the ToRs are revisited and plan for the future work of the CoP.</w:t>
      </w:r>
    </w:p>
    <w:p w14:paraId="1ACE9217" w14:textId="77777777" w:rsidR="00DA28DF" w:rsidRDefault="00DA28DF" w:rsidP="00D52C25">
      <w:r>
        <w:t xml:space="preserve">The conversation ensued as to the need to use the CoP, following a “business plan”, that gives a meaning </w:t>
      </w:r>
      <w:r w:rsidR="00826D75">
        <w:t>to this group and would also facilitate engagement with other training centres.</w:t>
      </w:r>
    </w:p>
    <w:p w14:paraId="01C734C8" w14:textId="77777777" w:rsidR="00826D75" w:rsidRDefault="00826D75" w:rsidP="00D52C25">
      <w:r>
        <w:t xml:space="preserve">MNK suggested that we ask what are the questions </w:t>
      </w:r>
      <w:r w:rsidR="00CE237D">
        <w:t>that</w:t>
      </w:r>
      <w:r>
        <w:t xml:space="preserve"> TFCAs </w:t>
      </w:r>
      <w:r w:rsidR="00CE237D">
        <w:t>which require</w:t>
      </w:r>
      <w:r>
        <w:t xml:space="preserve"> input from </w:t>
      </w:r>
      <w:r w:rsidR="00CE237D">
        <w:t>external inputs and stakeholders. D</w:t>
      </w:r>
      <w:r>
        <w:t xml:space="preserve">o we know what </w:t>
      </w:r>
      <w:r w:rsidR="00CE237D">
        <w:t>the future questions are</w:t>
      </w:r>
      <w:r>
        <w:t>? SAWC had a 1 year Advanced Certificate course on TFCA management. Chair aske</w:t>
      </w:r>
      <w:r w:rsidR="005E3E91">
        <w:t>d</w:t>
      </w:r>
      <w:r>
        <w:t xml:space="preserve"> how </w:t>
      </w:r>
      <w:r w:rsidR="005E3E91">
        <w:t xml:space="preserve">to </w:t>
      </w:r>
      <w:r>
        <w:t xml:space="preserve">conclude the discussion constructively. </w:t>
      </w:r>
    </w:p>
    <w:p w14:paraId="52408784" w14:textId="77777777" w:rsidR="00826D75" w:rsidRDefault="00826D75" w:rsidP="00D52C25">
      <w:r>
        <w:t xml:space="preserve">SJ noted that to review the ToR may take an entire day, so we may need to have a second meeting to review that. </w:t>
      </w:r>
    </w:p>
    <w:p w14:paraId="109BA8E7" w14:textId="77777777" w:rsidR="00826D75" w:rsidRDefault="00826D75" w:rsidP="00D52C25">
      <w:r>
        <w:t xml:space="preserve">LB noted that the Tourism CoP went through the same, and suggests focussing on the core issues to be addressed in the ToR. CB seconded the suggestion and noted that at least the vision and strategic objectives should be defined today. SJ agreed and suggested to focus on defining the Mission clearly. This was supported by PG. </w:t>
      </w:r>
    </w:p>
    <w:p w14:paraId="3EAB5725" w14:textId="77777777" w:rsidR="00211B04" w:rsidRPr="00211B04" w:rsidRDefault="00211B04" w:rsidP="00211B04">
      <w:pPr>
        <w:pBdr>
          <w:top w:val="single" w:sz="4" w:space="1" w:color="215868" w:themeColor="accent5" w:themeShade="80"/>
          <w:left w:val="single" w:sz="4" w:space="4" w:color="215868" w:themeColor="accent5" w:themeShade="80"/>
          <w:bottom w:val="single" w:sz="4" w:space="1" w:color="215868" w:themeColor="accent5" w:themeShade="80"/>
          <w:right w:val="single" w:sz="4" w:space="4" w:color="215868" w:themeColor="accent5" w:themeShade="80"/>
        </w:pBdr>
        <w:shd w:val="clear" w:color="auto" w:fill="B6DDE8" w:themeFill="accent5" w:themeFillTint="66"/>
        <w:jc w:val="center"/>
        <w:rPr>
          <w:b/>
        </w:rPr>
      </w:pPr>
      <w:r w:rsidRPr="00211B04">
        <w:rPr>
          <w:b/>
        </w:rPr>
        <w:t>Decision to continue with agenda as presented, but dedicate time in Section 3 to Mission and objectives only.</w:t>
      </w:r>
    </w:p>
    <w:p w14:paraId="4E3B0D3E" w14:textId="77777777" w:rsidR="00C34BB6" w:rsidRDefault="00211B04" w:rsidP="00920275">
      <w:pPr>
        <w:pStyle w:val="Heading1"/>
        <w:rPr>
          <w:rFonts w:eastAsia="Times New Roman"/>
        </w:rPr>
      </w:pPr>
      <w:r>
        <w:rPr>
          <w:rFonts w:eastAsia="Times New Roman"/>
        </w:rPr>
        <w:t xml:space="preserve">Learning from Practice: </w:t>
      </w:r>
      <w:r w:rsidR="00C34BB6">
        <w:rPr>
          <w:rFonts w:eastAsia="Times New Roman"/>
        </w:rPr>
        <w:t>the example of the TFCA Network Tourism CoP</w:t>
      </w:r>
    </w:p>
    <w:p w14:paraId="4A77E574" w14:textId="77777777" w:rsidR="00FE46B5" w:rsidRDefault="00FE46B5" w:rsidP="00FE46B5">
      <w:r>
        <w:t xml:space="preserve">LB presented the evolution of the Tourism CoP. See presentation attached. </w:t>
      </w:r>
    </w:p>
    <w:p w14:paraId="74AA7C7D" w14:textId="77777777" w:rsidR="009D1937" w:rsidRDefault="009D1937" w:rsidP="00FE46B5">
      <w:r>
        <w:t>PT noted that the tourism CoP is very clear and “easy” to define, but this CoP has a variety of component</w:t>
      </w:r>
      <w:r w:rsidR="00E516DB">
        <w:t>s</w:t>
      </w:r>
      <w:r>
        <w:t xml:space="preserve"> and the key question should revolve around what is the value added by TFCAs. In the GLTCA, for instance, </w:t>
      </w:r>
      <w:r w:rsidR="00586430">
        <w:t xml:space="preserve">it was put to the SAWC to look at what was available and define what was needed. </w:t>
      </w:r>
    </w:p>
    <w:p w14:paraId="4B76B016" w14:textId="188C26E0" w:rsidR="00E516DB" w:rsidRDefault="00586430" w:rsidP="00E516DB">
      <w:r>
        <w:t xml:space="preserve">AG noted that demand/needs/offer relationship is very challenging. In K2C, for instance, training is seen as a </w:t>
      </w:r>
      <w:r w:rsidR="008215E7">
        <w:t>solution for all capacity problems</w:t>
      </w:r>
      <w:r w:rsidR="00F82BA2">
        <w:t>,</w:t>
      </w:r>
      <w:r>
        <w:t xml:space="preserve"> which it is not. A</w:t>
      </w:r>
      <w:r w:rsidR="00E516DB">
        <w:t>t a</w:t>
      </w:r>
      <w:r>
        <w:t xml:space="preserve"> very broad level, we </w:t>
      </w:r>
      <w:r w:rsidR="00E516DB">
        <w:t xml:space="preserve">tend to </w:t>
      </w:r>
      <w:r>
        <w:t xml:space="preserve">dilute the efforts and funds, without really having an impact. So needs </w:t>
      </w:r>
      <w:r w:rsidR="00E516DB">
        <w:t xml:space="preserve">versus wants </w:t>
      </w:r>
      <w:r>
        <w:t>and supply need to be separated in order to maximise effort and impact. These also need to be contextualised to the physical and human landscape in which the group and/or its members operate. The KfW report shows that the revisiting of the 2013 proved that most important needs have not changed. The IUCN Competency Framework is now being used to benchmark. AG takes the group through</w:t>
      </w:r>
      <w:r w:rsidR="00246B12">
        <w:t xml:space="preserve"> a series of relevant documents and noted the establishment of the Southern Africa Quality Assurance Network, to foster regional recognition of training. </w:t>
      </w:r>
      <w:r w:rsidR="00E516DB">
        <w:t>AG also emphasised that in order to establish what can be addressed through trainings, organisational needs assessments would have to be conducted.</w:t>
      </w:r>
    </w:p>
    <w:p w14:paraId="234E0C64" w14:textId="77777777" w:rsidR="00586430" w:rsidRPr="00211B04" w:rsidRDefault="00586430" w:rsidP="00586430">
      <w:pPr>
        <w:pBdr>
          <w:top w:val="single" w:sz="4" w:space="1" w:color="215868" w:themeColor="accent5" w:themeShade="80"/>
          <w:left w:val="single" w:sz="4" w:space="4" w:color="215868" w:themeColor="accent5" w:themeShade="80"/>
          <w:bottom w:val="single" w:sz="4" w:space="1" w:color="215868" w:themeColor="accent5" w:themeShade="80"/>
          <w:right w:val="single" w:sz="4" w:space="4" w:color="215868" w:themeColor="accent5" w:themeShade="80"/>
        </w:pBdr>
        <w:shd w:val="clear" w:color="auto" w:fill="B6DDE8" w:themeFill="accent5" w:themeFillTint="66"/>
        <w:jc w:val="center"/>
        <w:rPr>
          <w:b/>
        </w:rPr>
      </w:pPr>
      <w:r w:rsidRPr="00211B04">
        <w:rPr>
          <w:b/>
        </w:rPr>
        <w:t xml:space="preserve">Decision to </w:t>
      </w:r>
      <w:r>
        <w:rPr>
          <w:b/>
        </w:rPr>
        <w:t>move Section 5 forward and have the Planning section as the last section</w:t>
      </w:r>
      <w:r w:rsidRPr="00211B04">
        <w:rPr>
          <w:b/>
        </w:rPr>
        <w:t>.</w:t>
      </w:r>
    </w:p>
    <w:p w14:paraId="043E2E5A" w14:textId="77777777" w:rsidR="00586430" w:rsidRDefault="005B7088" w:rsidP="00FE46B5">
      <w:r>
        <w:t xml:space="preserve">SM noted a section on language in the SADC Protocol, and was wondering </w:t>
      </w:r>
      <w:r w:rsidR="00D01A78">
        <w:t xml:space="preserve">how much work has been done in making sure training is provided in other regional languages too. </w:t>
      </w:r>
    </w:p>
    <w:p w14:paraId="6084D3E3" w14:textId="77777777" w:rsidR="00D01A78" w:rsidRDefault="00D01A78" w:rsidP="00FE46B5">
      <w:r>
        <w:lastRenderedPageBreak/>
        <w:t xml:space="preserve">Chair recognised that SADC recognises Portuguese and French as official languages for the region. So any official document has to be translated into these languages. CB also noted that this CoP is not an implementing agency, so they can only recommend the use of training in non-English languages, and vernaculars, to </w:t>
      </w:r>
      <w:r w:rsidR="00E516DB">
        <w:t>institutions</w:t>
      </w:r>
      <w:r>
        <w:t xml:space="preserve"> involved in this process. </w:t>
      </w:r>
    </w:p>
    <w:p w14:paraId="62C19736" w14:textId="77777777" w:rsidR="00D01A78" w:rsidRPr="00211B04" w:rsidRDefault="00D01A78" w:rsidP="00D01A78">
      <w:pPr>
        <w:pBdr>
          <w:top w:val="single" w:sz="4" w:space="1" w:color="215868" w:themeColor="accent5" w:themeShade="80"/>
          <w:left w:val="single" w:sz="4" w:space="4" w:color="215868" w:themeColor="accent5" w:themeShade="80"/>
          <w:bottom w:val="single" w:sz="4" w:space="1" w:color="215868" w:themeColor="accent5" w:themeShade="80"/>
          <w:right w:val="single" w:sz="4" w:space="4" w:color="215868" w:themeColor="accent5" w:themeShade="80"/>
        </w:pBdr>
        <w:shd w:val="clear" w:color="auto" w:fill="B6DDE8" w:themeFill="accent5" w:themeFillTint="66"/>
        <w:jc w:val="center"/>
        <w:rPr>
          <w:b/>
        </w:rPr>
      </w:pPr>
      <w:r w:rsidRPr="00211B04">
        <w:rPr>
          <w:b/>
        </w:rPr>
        <w:t xml:space="preserve">Decision to </w:t>
      </w:r>
      <w:r>
        <w:rPr>
          <w:b/>
        </w:rPr>
        <w:t>move the Updates before lunch and dedicate the afternoon to the Planning</w:t>
      </w:r>
      <w:r w:rsidRPr="00211B04">
        <w:rPr>
          <w:b/>
        </w:rPr>
        <w:t>.</w:t>
      </w:r>
    </w:p>
    <w:p w14:paraId="37D2D41A" w14:textId="77777777" w:rsidR="00D01A78" w:rsidRDefault="00D01A78" w:rsidP="00FE46B5"/>
    <w:p w14:paraId="2E1FA8FC" w14:textId="77777777" w:rsidR="00D01A78" w:rsidRDefault="00D01A78" w:rsidP="00D01A78">
      <w:pPr>
        <w:pStyle w:val="Heading1"/>
      </w:pPr>
      <w:r>
        <w:t>Updates / briefs</w:t>
      </w:r>
    </w:p>
    <w:p w14:paraId="0FA2A697" w14:textId="77777777" w:rsidR="00D01A78" w:rsidRPr="00D01A78" w:rsidRDefault="00EC19DA" w:rsidP="00D01A78">
      <w:pPr>
        <w:ind w:left="360"/>
        <w:rPr>
          <w:b/>
        </w:rPr>
      </w:pPr>
      <w:r>
        <w:rPr>
          <w:b/>
        </w:rPr>
        <w:t xml:space="preserve">SJ - </w:t>
      </w:r>
      <w:r w:rsidR="00D01A78" w:rsidRPr="00D01A78">
        <w:rPr>
          <w:b/>
        </w:rPr>
        <w:t xml:space="preserve">The USAID Combatting Wildlife Crime Program: </w:t>
      </w:r>
    </w:p>
    <w:p w14:paraId="6DDD9691" w14:textId="77777777" w:rsidR="00D01A78" w:rsidRDefault="00D01A78" w:rsidP="00D01A78">
      <w:pPr>
        <w:pStyle w:val="NoSpacing"/>
        <w:ind w:left="426"/>
      </w:pPr>
      <w:r>
        <w:t>USAID has issue</w:t>
      </w:r>
      <w:r w:rsidR="000D27C3">
        <w:t>d</w:t>
      </w:r>
      <w:r>
        <w:t xml:space="preserve"> contracts to 5 consortia for 6 programme</w:t>
      </w:r>
      <w:r w:rsidR="000D27C3">
        <w:t>s</w:t>
      </w:r>
      <w:r>
        <w:t xml:space="preserve"> across the region.</w:t>
      </w:r>
    </w:p>
    <w:p w14:paraId="68E61CDA" w14:textId="77777777" w:rsidR="00D01A78" w:rsidRDefault="00D01A78" w:rsidP="00EC19DA">
      <w:pPr>
        <w:pStyle w:val="NoSpacing"/>
        <w:ind w:left="426"/>
      </w:pPr>
      <w:r>
        <w:t xml:space="preserve">Linkages with those are </w:t>
      </w:r>
      <w:r w:rsidR="000D27C3">
        <w:t xml:space="preserve">crucial </w:t>
      </w:r>
      <w:r>
        <w:t>because they may help fund training programmes. Also, another fund is out to provide monitoring and capacity building from the other CWC programmes.</w:t>
      </w:r>
    </w:p>
    <w:p w14:paraId="5EEDD1DA" w14:textId="77777777" w:rsidR="00D01A78" w:rsidRPr="00D01A78" w:rsidRDefault="00EC19DA" w:rsidP="00EC19DA">
      <w:pPr>
        <w:spacing w:before="240"/>
        <w:ind w:left="357"/>
        <w:rPr>
          <w:b/>
        </w:rPr>
      </w:pPr>
      <w:r>
        <w:rPr>
          <w:b/>
        </w:rPr>
        <w:t xml:space="preserve">SJ - </w:t>
      </w:r>
      <w:r w:rsidR="00D01A78" w:rsidRPr="00D01A78">
        <w:rPr>
          <w:b/>
        </w:rPr>
        <w:t>The USAID The Southern African Resilient Waters Program</w:t>
      </w:r>
    </w:p>
    <w:p w14:paraId="64987F4B" w14:textId="77777777" w:rsidR="00D01A78" w:rsidRDefault="00D01A78" w:rsidP="00D01A78">
      <w:pPr>
        <w:pStyle w:val="NoSpacing"/>
        <w:ind w:left="426"/>
      </w:pPr>
      <w:r>
        <w:t xml:space="preserve">This major programme will also have to include CWC, and is based in both Kavango and Limpopo River Basins, thus looking at the TFCA management model for river systems. This programme will also have a </w:t>
      </w:r>
      <w:r w:rsidR="00EC19DA">
        <w:t xml:space="preserve">capacity building component. </w:t>
      </w:r>
    </w:p>
    <w:p w14:paraId="49585E0D" w14:textId="77777777" w:rsidR="00EC19DA" w:rsidRDefault="00EC19DA" w:rsidP="00D01A78">
      <w:pPr>
        <w:pStyle w:val="NoSpacing"/>
        <w:ind w:left="426"/>
      </w:pPr>
    </w:p>
    <w:p w14:paraId="5E1CF196" w14:textId="77777777" w:rsidR="00EC19DA" w:rsidRDefault="00EC19DA" w:rsidP="00EC19DA">
      <w:pPr>
        <w:pStyle w:val="NoSpacing"/>
        <w:ind w:left="426"/>
      </w:pPr>
      <w:r>
        <w:t xml:space="preserve">Chemonics is bidding on both these programmes. </w:t>
      </w:r>
    </w:p>
    <w:p w14:paraId="176CF1AB" w14:textId="77777777" w:rsidR="00EC19DA" w:rsidRDefault="00EC19DA" w:rsidP="00EC19DA">
      <w:pPr>
        <w:pStyle w:val="NoSpacing"/>
        <w:spacing w:before="240"/>
        <w:ind w:left="425"/>
      </w:pPr>
      <w:r>
        <w:rPr>
          <w:b/>
        </w:rPr>
        <w:t xml:space="preserve">SJ - </w:t>
      </w:r>
      <w:r w:rsidRPr="00EC19DA">
        <w:rPr>
          <w:b/>
        </w:rPr>
        <w:t>IUCN SULi</w:t>
      </w:r>
      <w:r>
        <w:t xml:space="preserve"> announced that GIZ, partnering with IIED and TRAFFIC, funds FLOD and other CWC initiatives in the region. </w:t>
      </w:r>
    </w:p>
    <w:p w14:paraId="497FEF5C" w14:textId="77777777" w:rsidR="00EC19DA" w:rsidRPr="00EC19DA" w:rsidRDefault="00EC19DA" w:rsidP="00EC19DA">
      <w:pPr>
        <w:spacing w:before="240"/>
        <w:ind w:left="357"/>
        <w:rPr>
          <w:b/>
        </w:rPr>
      </w:pPr>
      <w:r w:rsidRPr="00EC19DA">
        <w:rPr>
          <w:b/>
        </w:rPr>
        <w:t xml:space="preserve">CB - TFCA Specialist Group Working Groups </w:t>
      </w:r>
    </w:p>
    <w:p w14:paraId="4C0E65C7" w14:textId="77777777" w:rsidR="00EC19DA" w:rsidRDefault="00EC19DA" w:rsidP="00EC19DA">
      <w:pPr>
        <w:pStyle w:val="NoSpacing"/>
        <w:ind w:left="426"/>
      </w:pPr>
      <w:r>
        <w:t>The suggestions from Southern Africa are Community Engagement, Law &amp; Policy, and Training and Capacity Building. The latter will be linked to WCPA Capacity Development group (Mike Appleton).</w:t>
      </w:r>
    </w:p>
    <w:p w14:paraId="5F635676" w14:textId="77777777" w:rsidR="00EC19DA" w:rsidRDefault="00EC19DA" w:rsidP="00EC19DA">
      <w:pPr>
        <w:spacing w:before="240"/>
        <w:ind w:left="357"/>
      </w:pPr>
      <w:r w:rsidRPr="00EC19DA">
        <w:rPr>
          <w:b/>
        </w:rPr>
        <w:t>TG – TFCA Funding Facility</w:t>
      </w:r>
      <w:r>
        <w:t xml:space="preserve"> </w:t>
      </w:r>
    </w:p>
    <w:p w14:paraId="00F8DE8A" w14:textId="77777777" w:rsidR="00EC19DA" w:rsidRDefault="00EC19DA" w:rsidP="00EC19DA">
      <w:pPr>
        <w:pStyle w:val="NoSpacing"/>
        <w:ind w:left="426"/>
      </w:pPr>
      <w:r>
        <w:t xml:space="preserve">The model was approved at the last Wildlife Technical Committee, and it may provide help to this CoP. The funds will be administered through IUCN, with which an MoU is being finalised, as well as an MoU with KfW. </w:t>
      </w:r>
    </w:p>
    <w:p w14:paraId="667DF64C" w14:textId="77777777" w:rsidR="00EC19DA" w:rsidRDefault="00EC19DA" w:rsidP="00EC19DA">
      <w:pPr>
        <w:pStyle w:val="NoSpacing"/>
        <w:spacing w:before="240"/>
        <w:ind w:left="425"/>
      </w:pPr>
      <w:r>
        <w:t xml:space="preserve">SJ mentioned DEA has a roster of capacity building expertise. </w:t>
      </w:r>
      <w:r w:rsidR="00212CBE">
        <w:t xml:space="preserve">TG mentioned that many countries believe they are lagging behind in TFCA development and this CoP may help in finding a strategy to help these TFCAs develop TFCAs and benefit from them, specifically Marine TFCAs and island states. PG also note that integration is needed between TFCAs and other projects on cross-border initiatives, like CMS. </w:t>
      </w:r>
    </w:p>
    <w:p w14:paraId="095EBB39" w14:textId="77777777" w:rsidR="00EC19DA" w:rsidRPr="00212CBE" w:rsidRDefault="00212CBE" w:rsidP="00212CBE">
      <w:pPr>
        <w:pStyle w:val="NoSpacing"/>
        <w:spacing w:before="240"/>
        <w:ind w:left="425"/>
        <w:rPr>
          <w:b/>
        </w:rPr>
      </w:pPr>
      <w:r w:rsidRPr="00212CBE">
        <w:rPr>
          <w:b/>
        </w:rPr>
        <w:t>SM – IUCN and BIOPAMA in SADC</w:t>
      </w:r>
    </w:p>
    <w:p w14:paraId="12413115" w14:textId="77777777" w:rsidR="00212CBE" w:rsidRPr="00212CBE" w:rsidRDefault="00212CBE" w:rsidP="00212CBE">
      <w:pPr>
        <w:pStyle w:val="NoSpacing"/>
        <w:ind w:left="426"/>
      </w:pPr>
      <w:r w:rsidRPr="00212CBE">
        <w:t>BIOPAMA II is focussed on capacity building and development in the SADC region, so IUCN will support this CoP through this fund</w:t>
      </w:r>
      <w:r w:rsidR="00F31049">
        <w:t>; also by:</w:t>
      </w:r>
      <w:r w:rsidRPr="00212CBE">
        <w:t xml:space="preserve"> </w:t>
      </w:r>
    </w:p>
    <w:p w14:paraId="6A04AF05" w14:textId="77777777" w:rsidR="00212CBE" w:rsidRPr="00212CBE" w:rsidRDefault="00212CBE" w:rsidP="00212CBE">
      <w:pPr>
        <w:pStyle w:val="NoSpacing"/>
        <w:numPr>
          <w:ilvl w:val="0"/>
          <w:numId w:val="12"/>
        </w:numPr>
        <w:ind w:left="993"/>
      </w:pPr>
      <w:r w:rsidRPr="00212CBE">
        <w:t>Sharing information tools</w:t>
      </w:r>
      <w:r w:rsidR="00235DB0">
        <w:t>;</w:t>
      </w:r>
    </w:p>
    <w:p w14:paraId="50BB3C17" w14:textId="77777777" w:rsidR="00212CBE" w:rsidRPr="00212CBE" w:rsidRDefault="00212CBE" w:rsidP="00212CBE">
      <w:pPr>
        <w:pStyle w:val="NoSpacing"/>
        <w:numPr>
          <w:ilvl w:val="0"/>
          <w:numId w:val="12"/>
        </w:numPr>
        <w:ind w:left="993"/>
      </w:pPr>
      <w:r w:rsidRPr="00212CBE">
        <w:t>Capacity development for PA governance and management</w:t>
      </w:r>
      <w:r w:rsidR="00235DB0">
        <w:t>;</w:t>
      </w:r>
      <w:r w:rsidR="00F31049">
        <w:t xml:space="preserve"> and</w:t>
      </w:r>
    </w:p>
    <w:p w14:paraId="39FD2010" w14:textId="77777777" w:rsidR="00212CBE" w:rsidRDefault="00235DB0" w:rsidP="00212CBE">
      <w:pPr>
        <w:pStyle w:val="NoSpacing"/>
        <w:numPr>
          <w:ilvl w:val="0"/>
          <w:numId w:val="12"/>
        </w:numPr>
        <w:ind w:left="993"/>
      </w:pPr>
      <w:r w:rsidRPr="00212CBE">
        <w:t>Strengthening</w:t>
      </w:r>
      <w:r w:rsidR="00212CBE" w:rsidRPr="00212CBE">
        <w:t xml:space="preserve"> </w:t>
      </w:r>
      <w:r w:rsidRPr="00212CBE">
        <w:t>projects</w:t>
      </w:r>
      <w:r>
        <w:t>.</w:t>
      </w:r>
    </w:p>
    <w:p w14:paraId="3EC3DA42" w14:textId="77777777" w:rsidR="00212CBE" w:rsidRPr="00212CBE" w:rsidRDefault="00212CBE" w:rsidP="00212CBE">
      <w:pPr>
        <w:pStyle w:val="NoSpacing"/>
        <w:spacing w:before="240"/>
        <w:ind w:left="426"/>
        <w:rPr>
          <w:b/>
        </w:rPr>
      </w:pPr>
      <w:r w:rsidRPr="00212CBE">
        <w:rPr>
          <w:b/>
        </w:rPr>
        <w:lastRenderedPageBreak/>
        <w:t xml:space="preserve">AG – </w:t>
      </w:r>
      <w:r w:rsidR="00154D1B">
        <w:rPr>
          <w:b/>
        </w:rPr>
        <w:t xml:space="preserve">South African </w:t>
      </w:r>
      <w:r w:rsidRPr="00212CBE">
        <w:rPr>
          <w:b/>
        </w:rPr>
        <w:t>D</w:t>
      </w:r>
      <w:r w:rsidR="00154D1B">
        <w:rPr>
          <w:b/>
        </w:rPr>
        <w:t xml:space="preserve">epartment of </w:t>
      </w:r>
      <w:r w:rsidRPr="00212CBE">
        <w:rPr>
          <w:b/>
        </w:rPr>
        <w:t>H</w:t>
      </w:r>
      <w:r w:rsidR="00154D1B">
        <w:rPr>
          <w:b/>
        </w:rPr>
        <w:t>igher Education and Training (DHET)</w:t>
      </w:r>
    </w:p>
    <w:p w14:paraId="7A98E4A6" w14:textId="77777777" w:rsidR="00212CBE" w:rsidRDefault="00212CBE" w:rsidP="00212CBE">
      <w:pPr>
        <w:pStyle w:val="NoSpacing"/>
        <w:ind w:left="426"/>
      </w:pPr>
      <w:r w:rsidRPr="00212CBE">
        <w:t xml:space="preserve">The internationalisation process started through the Internationalisation act </w:t>
      </w:r>
      <w:r w:rsidR="00377CE1">
        <w:t xml:space="preserve">and </w:t>
      </w:r>
      <w:r w:rsidRPr="00212CBE">
        <w:t>will include funding of co-operative processes.</w:t>
      </w:r>
      <w:r>
        <w:t xml:space="preserve"> This </w:t>
      </w:r>
      <w:r w:rsidR="00377CE1">
        <w:t xml:space="preserve">is intended to? </w:t>
      </w:r>
      <w:r w:rsidR="00CE237D">
        <w:t>Supplement</w:t>
      </w:r>
      <w:r>
        <w:t xml:space="preserve"> the NRF shortcomings, and add a regional component to research programme funded by RSA government. Also, the National Department of Tourism has just released its Human Development Strategies, looking at funding of priority careers. </w:t>
      </w:r>
      <w:r w:rsidR="00235DB0">
        <w:t>SAWC is helping Myanmar to develop a ranger training college.</w:t>
      </w:r>
    </w:p>
    <w:p w14:paraId="5688A9DE" w14:textId="77777777" w:rsidR="00235DB0" w:rsidRDefault="00235DB0" w:rsidP="00212CBE">
      <w:pPr>
        <w:pStyle w:val="NoSpacing"/>
        <w:ind w:left="426"/>
      </w:pPr>
    </w:p>
    <w:p w14:paraId="53E98356" w14:textId="77777777" w:rsidR="00235DB0" w:rsidRDefault="00235DB0" w:rsidP="00212CBE">
      <w:pPr>
        <w:pStyle w:val="NoSpacing"/>
        <w:ind w:left="426"/>
      </w:pPr>
      <w:r>
        <w:t xml:space="preserve">African Parks has also approached SAWC on the standardisation of field rangers training across the region and the objective is to standardise also training for other functions in Law Enforcement. Funding is provided by KfW, but the deadline is 7 December. </w:t>
      </w:r>
    </w:p>
    <w:p w14:paraId="40606457" w14:textId="77777777" w:rsidR="00235DB0" w:rsidRDefault="00235DB0" w:rsidP="00212CBE">
      <w:pPr>
        <w:pStyle w:val="NoSpacing"/>
        <w:ind w:left="426"/>
      </w:pPr>
    </w:p>
    <w:p w14:paraId="4CF63F3D" w14:textId="77777777" w:rsidR="00235DB0" w:rsidRDefault="00235DB0" w:rsidP="00212CBE">
      <w:pPr>
        <w:pStyle w:val="NoSpacing"/>
        <w:ind w:left="426"/>
      </w:pPr>
      <w:r>
        <w:t xml:space="preserve">TG announced that Angola has just launched a training college, </w:t>
      </w:r>
      <w:r w:rsidR="00377CE1">
        <w:t xml:space="preserve">and that it </w:t>
      </w:r>
      <w:r w:rsidR="00CE237D">
        <w:t>may be</w:t>
      </w:r>
      <w:r w:rsidR="00377CE1">
        <w:t xml:space="preserve"> a good idea to </w:t>
      </w:r>
      <w:r>
        <w:t xml:space="preserve">assist them, as the college is open to all Member States. </w:t>
      </w:r>
    </w:p>
    <w:p w14:paraId="1DE4D4A3" w14:textId="77777777" w:rsidR="00235DB0" w:rsidRPr="00212CBE" w:rsidRDefault="00235DB0" w:rsidP="00212CBE">
      <w:pPr>
        <w:pStyle w:val="NoSpacing"/>
        <w:ind w:left="426"/>
      </w:pPr>
    </w:p>
    <w:p w14:paraId="6EBE4402" w14:textId="77777777" w:rsidR="00235DB0" w:rsidRPr="00235DB0" w:rsidRDefault="00235DB0" w:rsidP="00235DB0">
      <w:pPr>
        <w:pStyle w:val="ListParagraph"/>
        <w:numPr>
          <w:ilvl w:val="0"/>
          <w:numId w:val="13"/>
        </w:numPr>
        <w:pBdr>
          <w:top w:val="single" w:sz="4" w:space="1" w:color="215868" w:themeColor="accent5" w:themeShade="80"/>
          <w:left w:val="single" w:sz="4" w:space="4" w:color="215868" w:themeColor="accent5" w:themeShade="80"/>
          <w:bottom w:val="single" w:sz="4" w:space="1" w:color="215868" w:themeColor="accent5" w:themeShade="80"/>
          <w:right w:val="single" w:sz="4" w:space="4" w:color="215868" w:themeColor="accent5" w:themeShade="80"/>
        </w:pBdr>
        <w:shd w:val="clear" w:color="auto" w:fill="B6DDE8" w:themeFill="accent5" w:themeFillTint="66"/>
        <w:spacing w:after="0" w:line="240" w:lineRule="auto"/>
        <w:jc w:val="center"/>
        <w:rPr>
          <w:b/>
        </w:rPr>
      </w:pPr>
      <w:r w:rsidRPr="00235DB0">
        <w:rPr>
          <w:b/>
        </w:rPr>
        <w:t>PG to share the document of reference to her note;</w:t>
      </w:r>
    </w:p>
    <w:p w14:paraId="1443F5EB" w14:textId="77777777" w:rsidR="00235DB0" w:rsidRPr="00235DB0" w:rsidRDefault="00235DB0" w:rsidP="00235DB0">
      <w:pPr>
        <w:pStyle w:val="ListParagraph"/>
        <w:numPr>
          <w:ilvl w:val="0"/>
          <w:numId w:val="13"/>
        </w:numPr>
        <w:pBdr>
          <w:top w:val="single" w:sz="4" w:space="1" w:color="215868" w:themeColor="accent5" w:themeShade="80"/>
          <w:left w:val="single" w:sz="4" w:space="4" w:color="215868" w:themeColor="accent5" w:themeShade="80"/>
          <w:bottom w:val="single" w:sz="4" w:space="1" w:color="215868" w:themeColor="accent5" w:themeShade="80"/>
          <w:right w:val="single" w:sz="4" w:space="4" w:color="215868" w:themeColor="accent5" w:themeShade="80"/>
        </w:pBdr>
        <w:shd w:val="clear" w:color="auto" w:fill="B6DDE8" w:themeFill="accent5" w:themeFillTint="66"/>
        <w:spacing w:after="0" w:line="240" w:lineRule="auto"/>
        <w:jc w:val="center"/>
        <w:rPr>
          <w:b/>
        </w:rPr>
      </w:pPr>
      <w:r w:rsidRPr="00235DB0">
        <w:rPr>
          <w:b/>
        </w:rPr>
        <w:t>AG to share the DHE&amp;T draft legislation.</w:t>
      </w:r>
    </w:p>
    <w:p w14:paraId="0E3DEF26" w14:textId="77777777" w:rsidR="00EC19DA" w:rsidRDefault="00EC19DA" w:rsidP="00EC19DA">
      <w:pPr>
        <w:ind w:left="360"/>
      </w:pPr>
    </w:p>
    <w:p w14:paraId="790C2FCF" w14:textId="77777777" w:rsidR="00D01A78" w:rsidRPr="00FE46B5" w:rsidRDefault="00D01A78" w:rsidP="00FE46B5"/>
    <w:p w14:paraId="63932271" w14:textId="77777777" w:rsidR="00C34BB6" w:rsidRDefault="00C34BB6" w:rsidP="00920275">
      <w:pPr>
        <w:pStyle w:val="Heading1"/>
      </w:pPr>
      <w:r>
        <w:rPr>
          <w:rFonts w:eastAsia="Times New Roman"/>
        </w:rPr>
        <w:t>Review of the CoP’s ToR (</w:t>
      </w:r>
      <w:r>
        <w:t>mission, vision, membership and operational structure)</w:t>
      </w:r>
    </w:p>
    <w:p w14:paraId="1E9D27D6" w14:textId="77777777" w:rsidR="005E78C6" w:rsidRDefault="005E78C6" w:rsidP="00144328">
      <w:pPr>
        <w:rPr>
          <w:b/>
        </w:rPr>
      </w:pPr>
      <w:r>
        <w:rPr>
          <w:b/>
        </w:rPr>
        <w:t>The m</w:t>
      </w:r>
      <w:r w:rsidR="00144328" w:rsidRPr="00144328">
        <w:rPr>
          <w:b/>
        </w:rPr>
        <w:t>ission</w:t>
      </w:r>
      <w:r>
        <w:rPr>
          <w:b/>
        </w:rPr>
        <w:t xml:space="preserve"> was re-drafted as follows</w:t>
      </w:r>
      <w:r w:rsidR="00144328" w:rsidRPr="00144328">
        <w:rPr>
          <w:b/>
        </w:rPr>
        <w:t>:</w:t>
      </w:r>
    </w:p>
    <w:p w14:paraId="0E0E0DF8" w14:textId="77777777" w:rsidR="00144328" w:rsidRDefault="00144328" w:rsidP="00144328">
      <w:r>
        <w:t xml:space="preserve">As part of the SADC TFCA Network, the mission of the Training and Capacity Building CoP is “to catalyse and facilitate capacity building and </w:t>
      </w:r>
      <w:r w:rsidR="006A55EA">
        <w:t>training</w:t>
      </w:r>
      <w:r>
        <w:t xml:space="preserve"> opportunities </w:t>
      </w:r>
      <w:r w:rsidR="006A55EA">
        <w:t xml:space="preserve">specifically </w:t>
      </w:r>
      <w:r>
        <w:t xml:space="preserve">for SADC TFCAs”. </w:t>
      </w:r>
    </w:p>
    <w:p w14:paraId="4C3A92AC" w14:textId="77777777" w:rsidR="00A15FB8" w:rsidRDefault="00517376" w:rsidP="00144328">
      <w:pPr>
        <w:rPr>
          <w:b/>
        </w:rPr>
      </w:pPr>
      <w:r>
        <w:rPr>
          <w:b/>
        </w:rPr>
        <w:t>Strategic objectives</w:t>
      </w:r>
      <w:r w:rsidR="00144328" w:rsidRPr="00144328">
        <w:rPr>
          <w:b/>
        </w:rPr>
        <w:t>:</w:t>
      </w:r>
      <w:r w:rsidR="00A15FB8">
        <w:rPr>
          <w:b/>
        </w:rPr>
        <w:t xml:space="preserve"> </w:t>
      </w:r>
    </w:p>
    <w:p w14:paraId="7E19B76F" w14:textId="77777777" w:rsidR="00255AAD" w:rsidRDefault="00A15FB8" w:rsidP="006114FB">
      <w:pPr>
        <w:pStyle w:val="ListParagraph"/>
        <w:numPr>
          <w:ilvl w:val="0"/>
          <w:numId w:val="15"/>
        </w:numPr>
      </w:pPr>
      <w:r w:rsidRPr="00A15FB8">
        <w:t xml:space="preserve">In order to </w:t>
      </w:r>
      <w:r w:rsidR="00F5185E">
        <w:t xml:space="preserve">achieve its mission, the CoP facilitates collaborations between </w:t>
      </w:r>
      <w:r w:rsidR="005E78C6" w:rsidRPr="005E78C6">
        <w:rPr>
          <w:b/>
          <w:bCs/>
        </w:rPr>
        <w:t>SADC Member States, TFCAs, ICPs, training providers and other relevant institutions and sectors to meet the following strategic objectives</w:t>
      </w:r>
      <w:r w:rsidR="005E78C6" w:rsidDel="005E78C6">
        <w:t xml:space="preserve"> </w:t>
      </w:r>
      <w:r w:rsidR="0071154B">
        <w:t>To s</w:t>
      </w:r>
      <w:r>
        <w:t xml:space="preserve">upport </w:t>
      </w:r>
      <w:r w:rsidR="00F5185E">
        <w:t>the regular</w:t>
      </w:r>
      <w:r w:rsidR="00255AAD">
        <w:t xml:space="preserve"> assessment </w:t>
      </w:r>
      <w:r>
        <w:t xml:space="preserve">of </w:t>
      </w:r>
      <w:r w:rsidR="00F5185E">
        <w:t xml:space="preserve">training &amp; capacity </w:t>
      </w:r>
      <w:r>
        <w:t xml:space="preserve">needs </w:t>
      </w:r>
      <w:r w:rsidR="00F5185E">
        <w:t>and</w:t>
      </w:r>
      <w:r>
        <w:t xml:space="preserve"> </w:t>
      </w:r>
      <w:r w:rsidR="00F5185E">
        <w:t>offerings</w:t>
      </w:r>
      <w:r>
        <w:t xml:space="preserve"> </w:t>
      </w:r>
      <w:r w:rsidR="006A55EA">
        <w:t>on SADC</w:t>
      </w:r>
      <w:r w:rsidR="00255AAD">
        <w:t xml:space="preserve"> TFCA</w:t>
      </w:r>
      <w:r w:rsidR="00F5185E">
        <w:t>s</w:t>
      </w:r>
      <w:r w:rsidR="0071154B">
        <w:t>;</w:t>
      </w:r>
    </w:p>
    <w:p w14:paraId="3B9F0D31" w14:textId="77777777" w:rsidR="006A55EA" w:rsidRDefault="0071154B" w:rsidP="006114FB">
      <w:pPr>
        <w:numPr>
          <w:ilvl w:val="0"/>
          <w:numId w:val="15"/>
        </w:numPr>
      </w:pPr>
      <w:r>
        <w:t>To s</w:t>
      </w:r>
      <w:r w:rsidR="006A55EA">
        <w:t>upport the creation of an enabling environment for regional access to training &amp; capacity building</w:t>
      </w:r>
      <w:r>
        <w:t>;</w:t>
      </w:r>
    </w:p>
    <w:p w14:paraId="5FC9F1FB" w14:textId="77777777" w:rsidR="00A15FB8" w:rsidRDefault="0071154B" w:rsidP="006114FB">
      <w:pPr>
        <w:numPr>
          <w:ilvl w:val="0"/>
          <w:numId w:val="15"/>
        </w:numPr>
      </w:pPr>
      <w:r>
        <w:t>To c</w:t>
      </w:r>
      <w:r w:rsidR="00A15FB8">
        <w:t>ollaborate on design and development of training programmes, and help resource mobilisation</w:t>
      </w:r>
      <w:r>
        <w:t>;</w:t>
      </w:r>
    </w:p>
    <w:p w14:paraId="61551A93" w14:textId="77777777" w:rsidR="00255AAD" w:rsidRDefault="0071154B" w:rsidP="006114FB">
      <w:pPr>
        <w:numPr>
          <w:ilvl w:val="0"/>
          <w:numId w:val="15"/>
        </w:numPr>
      </w:pPr>
      <w:r>
        <w:t>To facilitate regular Monitoring &amp; Evaluation of</w:t>
      </w:r>
      <w:r w:rsidR="00517376">
        <w:t xml:space="preserve"> the impact of training and capacity building</w:t>
      </w:r>
      <w:r>
        <w:t xml:space="preserve"> to </w:t>
      </w:r>
      <w:r w:rsidR="005E78C6">
        <w:t xml:space="preserve">support </w:t>
      </w:r>
      <w:r w:rsidR="00255AAD">
        <w:t>regional standardisation processes</w:t>
      </w:r>
      <w:r>
        <w:t>;</w:t>
      </w:r>
    </w:p>
    <w:p w14:paraId="18E964ED" w14:textId="77777777" w:rsidR="00517376" w:rsidRDefault="0071154B" w:rsidP="006114FB">
      <w:pPr>
        <w:pStyle w:val="ListParagraph"/>
        <w:numPr>
          <w:ilvl w:val="0"/>
          <w:numId w:val="15"/>
        </w:numPr>
      </w:pPr>
      <w:r>
        <w:t>Communicate and report</w:t>
      </w:r>
      <w:r w:rsidR="00517376">
        <w:t xml:space="preserve"> back to SADC </w:t>
      </w:r>
      <w:r>
        <w:t xml:space="preserve">structures </w:t>
      </w:r>
      <w:r w:rsidR="00517376">
        <w:t xml:space="preserve">and other </w:t>
      </w:r>
      <w:r>
        <w:t>relevant</w:t>
      </w:r>
      <w:r w:rsidR="00517376">
        <w:t xml:space="preserve"> stakeholders</w:t>
      </w:r>
      <w:r>
        <w:t xml:space="preserve"> to facilitate decision-making and knowledge sharing.</w:t>
      </w:r>
    </w:p>
    <w:p w14:paraId="4CD1A4AD" w14:textId="77777777" w:rsidR="00BD41C3" w:rsidRDefault="00BD41C3" w:rsidP="00BD41C3">
      <w:pPr>
        <w:rPr>
          <w:b/>
        </w:rPr>
      </w:pPr>
      <w:r w:rsidRPr="00BD41C3">
        <w:rPr>
          <w:b/>
        </w:rPr>
        <w:t>Operational structure</w:t>
      </w:r>
    </w:p>
    <w:p w14:paraId="21A74CC1" w14:textId="77777777" w:rsidR="00D446E3" w:rsidRPr="008C6CA9" w:rsidRDefault="00D446E3" w:rsidP="00D446E3">
      <w:pPr>
        <w:rPr>
          <w:b/>
        </w:rPr>
      </w:pPr>
      <w:r w:rsidRPr="008C6CA9">
        <w:rPr>
          <w:b/>
        </w:rPr>
        <w:t>Chair/Convenor: Seth Maphalala</w:t>
      </w:r>
    </w:p>
    <w:p w14:paraId="2A383BAA" w14:textId="77777777" w:rsidR="00D446E3" w:rsidRPr="008C6CA9" w:rsidRDefault="00D446E3" w:rsidP="00D446E3">
      <w:pPr>
        <w:rPr>
          <w:b/>
        </w:rPr>
      </w:pPr>
      <w:r w:rsidRPr="008C6CA9">
        <w:rPr>
          <w:b/>
        </w:rPr>
        <w:lastRenderedPageBreak/>
        <w:t>Secretariat: Ashwell Glasson/Clara Bocchino</w:t>
      </w:r>
    </w:p>
    <w:p w14:paraId="4A55C166" w14:textId="78579F22" w:rsidR="00BD41C3" w:rsidRDefault="008F72DD" w:rsidP="00BD41C3">
      <w:r>
        <w:t>The FANR can facilit</w:t>
      </w:r>
      <w:r w:rsidR="0009385A">
        <w:t>ate initial dialogue with the Directorate SHD</w:t>
      </w:r>
      <w:r>
        <w:t xml:space="preserve">, and define SADC priorities for this CoP to achieve, then a presentation may be made to SADC. </w:t>
      </w:r>
    </w:p>
    <w:p w14:paraId="56E93B52" w14:textId="77777777" w:rsidR="008F72DD" w:rsidRDefault="008F72DD" w:rsidP="00BD41C3">
      <w:r>
        <w:t xml:space="preserve">SAWC will act as secretariat for the CoP, supported by GIZ for coordination and IUCN for financial resources. </w:t>
      </w:r>
    </w:p>
    <w:p w14:paraId="4C95ADC0" w14:textId="77777777" w:rsidR="003C4DCC" w:rsidRPr="004A561B" w:rsidRDefault="003C4DCC" w:rsidP="00BD41C3">
      <w:pPr>
        <w:rPr>
          <w:b/>
        </w:rPr>
      </w:pPr>
      <w:r>
        <w:t xml:space="preserve">SO1 Regular assessment: </w:t>
      </w:r>
      <w:r w:rsidRPr="004A561B">
        <w:rPr>
          <w:b/>
        </w:rPr>
        <w:t>Ashwell Glasson</w:t>
      </w:r>
      <w:r w:rsidR="004A561B">
        <w:t>/Nils Meyer/</w:t>
      </w:r>
      <w:r w:rsidR="004A561B" w:rsidRPr="004A561B">
        <w:t>Steve Johnson</w:t>
      </w:r>
    </w:p>
    <w:p w14:paraId="25378D59" w14:textId="77777777" w:rsidR="003C4DCC" w:rsidRDefault="003C4DCC" w:rsidP="00BD41C3">
      <w:r>
        <w:t>SO2 Enabling environment: Mareile</w:t>
      </w:r>
      <w:r w:rsidR="004A561B">
        <w:t xml:space="preserve"> N-K, Tawanda Gotosa, Patience Gandiwa</w:t>
      </w:r>
    </w:p>
    <w:p w14:paraId="5F3646B4" w14:textId="77777777" w:rsidR="004A561B" w:rsidRDefault="004A561B" w:rsidP="004A561B">
      <w:r>
        <w:t xml:space="preserve">SO3 Design and develop training: </w:t>
      </w:r>
      <w:r w:rsidRPr="004A561B">
        <w:rPr>
          <w:b/>
        </w:rPr>
        <w:t>Clara Bocchino</w:t>
      </w:r>
      <w:r>
        <w:t>/Stella Matsinye/Leo Niskanen/Nils Meyer/Sheena Dale</w:t>
      </w:r>
    </w:p>
    <w:p w14:paraId="40434A25" w14:textId="77777777" w:rsidR="004A561B" w:rsidRDefault="004A561B" w:rsidP="00BD41C3">
      <w:r>
        <w:t xml:space="preserve">SO4 M&amp;E for standardisation: </w:t>
      </w:r>
      <w:r w:rsidRPr="004A561B">
        <w:rPr>
          <w:b/>
        </w:rPr>
        <w:t>Nakedi Mapatla</w:t>
      </w:r>
      <w:r w:rsidRPr="004A561B">
        <w:t>, Sheena Dale</w:t>
      </w:r>
      <w:r>
        <w:t>, Patience Gandiwa, Steve Johnson</w:t>
      </w:r>
    </w:p>
    <w:p w14:paraId="708056B7" w14:textId="77777777" w:rsidR="003C4DCC" w:rsidRDefault="003C4DCC" w:rsidP="00BD41C3">
      <w:r>
        <w:t>SO5 Reporting to SADC: Tawanda Gotosa</w:t>
      </w:r>
      <w:r w:rsidR="004A561B">
        <w:t>, Lisa Blanken</w:t>
      </w:r>
    </w:p>
    <w:p w14:paraId="068B8C31" w14:textId="77777777" w:rsidR="00D446E3" w:rsidRDefault="00D446E3" w:rsidP="00BD41C3">
      <w:pPr>
        <w:rPr>
          <w:b/>
        </w:rPr>
      </w:pPr>
    </w:p>
    <w:p w14:paraId="328DE1E2" w14:textId="77777777" w:rsidR="00BD41C3" w:rsidRPr="00BD41C3" w:rsidRDefault="00BD41C3" w:rsidP="00BD41C3">
      <w:pPr>
        <w:rPr>
          <w:b/>
        </w:rPr>
      </w:pPr>
      <w:r w:rsidRPr="00BD41C3">
        <w:rPr>
          <w:b/>
        </w:rPr>
        <w:t>Membership</w:t>
      </w:r>
    </w:p>
    <w:p w14:paraId="081F69C8" w14:textId="6AEA30FE" w:rsidR="005323A0" w:rsidRPr="00C50318" w:rsidRDefault="005323A0" w:rsidP="00C50318">
      <w:pPr>
        <w:ind w:left="131"/>
      </w:pPr>
      <w:r>
        <w:t>The interim l</w:t>
      </w:r>
      <w:r w:rsidR="0009385A">
        <w:t>ist will be provided by M</w:t>
      </w:r>
      <w:r>
        <w:t>N-K to give a better overview over the current membership. Further, it was felt that the membership needed to be expanded on, and i</w:t>
      </w:r>
      <w:r w:rsidR="004A561B">
        <w:t xml:space="preserve">nclude </w:t>
      </w:r>
      <w:r w:rsidRPr="00C50318">
        <w:t>other Centres of Excellence (</w:t>
      </w:r>
      <w:r>
        <w:t>for which MNK would circulate a list</w:t>
      </w:r>
      <w:r w:rsidRPr="00C50318">
        <w:t>)</w:t>
      </w:r>
      <w:r>
        <w:t xml:space="preserve">, other relevant </w:t>
      </w:r>
      <w:r w:rsidR="004A561B">
        <w:t>institutions, ICPs and stakeholders.</w:t>
      </w:r>
      <w:r>
        <w:t xml:space="preserve"> Moreover, it was deemed important that the SADC Directorate of Social and Human Dimensions should be involved in the longer term and should be asked to participate and become part of this process. (The SADC Division on Skills Development &amp; Training</w:t>
      </w:r>
      <w:r w:rsidR="0009385A">
        <w:t xml:space="preserve"> falls under this Directorate</w:t>
      </w:r>
      <w:r>
        <w:t>).</w:t>
      </w:r>
    </w:p>
    <w:p w14:paraId="3829C67E" w14:textId="77777777" w:rsidR="005C3EF9" w:rsidRDefault="005C3EF9" w:rsidP="005C3EF9">
      <w:pPr>
        <w:pStyle w:val="Heading1"/>
      </w:pPr>
      <w:r>
        <w:t>Plan Jan 2018 – Dec 2020 with assigned roles &amp; responsibilities</w:t>
      </w:r>
    </w:p>
    <w:p w14:paraId="35B0A963" w14:textId="77777777" w:rsidR="00C34BB6" w:rsidRDefault="00C34BB6" w:rsidP="00E40F7A"/>
    <w:p w14:paraId="555F1E18" w14:textId="77777777" w:rsidR="00415020" w:rsidRPr="004517F0" w:rsidRDefault="00415020" w:rsidP="004517F0">
      <w:pPr>
        <w:spacing w:after="0"/>
        <w:rPr>
          <w:b/>
        </w:rPr>
      </w:pPr>
      <w:r w:rsidRPr="004517F0">
        <w:rPr>
          <w:b/>
        </w:rPr>
        <w:t xml:space="preserve">Survey Monkey </w:t>
      </w:r>
      <w:r w:rsidR="004517F0" w:rsidRPr="004517F0">
        <w:rPr>
          <w:b/>
        </w:rPr>
        <w:t>for</w:t>
      </w:r>
      <w:r w:rsidRPr="004517F0">
        <w:rPr>
          <w:b/>
        </w:rPr>
        <w:t xml:space="preserve"> educational and training institutions</w:t>
      </w:r>
      <w:r w:rsidR="004517F0" w:rsidRPr="004517F0">
        <w:rPr>
          <w:b/>
        </w:rPr>
        <w:t>:</w:t>
      </w:r>
    </w:p>
    <w:p w14:paraId="3D126479" w14:textId="77777777" w:rsidR="004517F0" w:rsidRDefault="004517F0" w:rsidP="004517F0">
      <w:pPr>
        <w:pStyle w:val="NoSpacing"/>
      </w:pPr>
      <w:r>
        <w:t>Responsibility: Ashwell Glasson</w:t>
      </w:r>
    </w:p>
    <w:p w14:paraId="05A54310" w14:textId="77777777" w:rsidR="004517F0" w:rsidRDefault="004517F0" w:rsidP="004517F0">
      <w:pPr>
        <w:pStyle w:val="NoSpacing"/>
      </w:pPr>
      <w:r>
        <w:t>Deadline to prepare Survey: 24 November 2017</w:t>
      </w:r>
    </w:p>
    <w:p w14:paraId="1AFB7EA3" w14:textId="31C1E6E9" w:rsidR="004517F0" w:rsidRDefault="004517F0" w:rsidP="000063F4">
      <w:pPr>
        <w:pStyle w:val="NoSpacing"/>
      </w:pPr>
      <w:r>
        <w:t>Deadline for collecting responses: 20 December 2017</w:t>
      </w:r>
    </w:p>
    <w:p w14:paraId="48FCE5B1" w14:textId="2904A1DA" w:rsidR="000063F4" w:rsidRPr="000063F4" w:rsidRDefault="000063F4" w:rsidP="000063F4">
      <w:pPr>
        <w:spacing w:before="120"/>
        <w:ind w:left="720"/>
        <w:rPr>
          <w:b/>
          <w:color w:val="FF0000"/>
        </w:rPr>
      </w:pPr>
      <w:r w:rsidRPr="000063F4">
        <w:rPr>
          <w:b/>
          <w:color w:val="FF0000"/>
        </w:rPr>
        <w:t>This activity needs to be moved to the first trimester of 2018</w:t>
      </w:r>
    </w:p>
    <w:p w14:paraId="3D35E81D" w14:textId="77777777" w:rsidR="004517F0" w:rsidRPr="004517F0" w:rsidRDefault="004517F0" w:rsidP="004517F0">
      <w:pPr>
        <w:spacing w:after="0"/>
        <w:rPr>
          <w:b/>
        </w:rPr>
      </w:pPr>
      <w:r w:rsidRPr="004517F0">
        <w:rPr>
          <w:b/>
        </w:rPr>
        <w:t>Organisation of next CoP meeting</w:t>
      </w:r>
    </w:p>
    <w:p w14:paraId="58168384" w14:textId="77777777" w:rsidR="004517F0" w:rsidRDefault="004517F0" w:rsidP="004517F0">
      <w:pPr>
        <w:pStyle w:val="NoSpacing"/>
      </w:pPr>
      <w:r>
        <w:t>Responsibility: Seth Maphalala with Secretariat and Stella (IUCN)</w:t>
      </w:r>
    </w:p>
    <w:p w14:paraId="72C036C4" w14:textId="77777777" w:rsidR="004517F0" w:rsidRDefault="004517F0" w:rsidP="004517F0">
      <w:pPr>
        <w:pStyle w:val="NoSpacing"/>
      </w:pPr>
      <w:r>
        <w:t>Preliminary date: 23 February 2018</w:t>
      </w:r>
    </w:p>
    <w:p w14:paraId="5301F8E9" w14:textId="77777777" w:rsidR="004517F0" w:rsidRDefault="004517F0" w:rsidP="004517F0">
      <w:pPr>
        <w:pStyle w:val="NoSpacing"/>
      </w:pPr>
      <w:r>
        <w:t xml:space="preserve">Objectives of the meeting: </w:t>
      </w:r>
    </w:p>
    <w:p w14:paraId="0DB6D84A" w14:textId="77777777" w:rsidR="004517F0" w:rsidRDefault="004517F0" w:rsidP="004517F0">
      <w:pPr>
        <w:pStyle w:val="NoSpacing"/>
        <w:numPr>
          <w:ilvl w:val="0"/>
          <w:numId w:val="17"/>
        </w:numPr>
      </w:pPr>
      <w:r>
        <w:t xml:space="preserve">to finalise the ToR for the CoP, </w:t>
      </w:r>
    </w:p>
    <w:p w14:paraId="3A9459F6" w14:textId="77777777" w:rsidR="004517F0" w:rsidRDefault="004517F0" w:rsidP="004517F0">
      <w:pPr>
        <w:pStyle w:val="NoSpacing"/>
        <w:numPr>
          <w:ilvl w:val="0"/>
          <w:numId w:val="17"/>
        </w:numPr>
      </w:pPr>
      <w:r>
        <w:t xml:space="preserve">to discuss the result of the Survey Monkey, </w:t>
      </w:r>
    </w:p>
    <w:p w14:paraId="684C0C5B" w14:textId="77777777" w:rsidR="004517F0" w:rsidRDefault="004517F0" w:rsidP="004517F0">
      <w:pPr>
        <w:pStyle w:val="NoSpacing"/>
        <w:numPr>
          <w:ilvl w:val="0"/>
          <w:numId w:val="17"/>
        </w:numPr>
      </w:pPr>
      <w:r>
        <w:t xml:space="preserve">to initiate dialogue with key CoE/CoS from the region, </w:t>
      </w:r>
    </w:p>
    <w:p w14:paraId="4882DEAB" w14:textId="77777777" w:rsidR="004517F0" w:rsidRDefault="004517F0" w:rsidP="004517F0">
      <w:pPr>
        <w:pStyle w:val="NoSpacing"/>
        <w:numPr>
          <w:ilvl w:val="0"/>
          <w:numId w:val="17"/>
        </w:numPr>
      </w:pPr>
      <w:r>
        <w:t>to begin preparation for wider meeting and the July “Launch of the CoP”.</w:t>
      </w:r>
    </w:p>
    <w:p w14:paraId="5FA51744" w14:textId="2571705A" w:rsidR="004517F0" w:rsidRDefault="000063F4" w:rsidP="000063F4">
      <w:pPr>
        <w:spacing w:before="120"/>
        <w:ind w:left="720"/>
      </w:pPr>
      <w:r w:rsidRPr="000063F4">
        <w:rPr>
          <w:b/>
          <w:color w:val="FF0000"/>
        </w:rPr>
        <w:t xml:space="preserve">This activity needs to be moved to </w:t>
      </w:r>
      <w:r>
        <w:rPr>
          <w:b/>
          <w:color w:val="FF0000"/>
        </w:rPr>
        <w:t>March</w:t>
      </w:r>
      <w:r w:rsidRPr="000063F4">
        <w:rPr>
          <w:b/>
          <w:color w:val="FF0000"/>
        </w:rPr>
        <w:t xml:space="preserve"> 2018</w:t>
      </w:r>
    </w:p>
    <w:p w14:paraId="5B7A810A" w14:textId="77777777" w:rsidR="004517F0" w:rsidRDefault="004517F0" w:rsidP="004517F0">
      <w:r>
        <w:lastRenderedPageBreak/>
        <w:t xml:space="preserve">The next two activities planned for 2018 are the wider CoE/CoS meeting in April 2017 and the “Launch of the CoP” in July 2018. </w:t>
      </w:r>
    </w:p>
    <w:sectPr w:rsidR="004517F0" w:rsidSect="002A3623">
      <w:headerReference w:type="default"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F508A" w14:textId="77777777" w:rsidR="00B054FE" w:rsidRDefault="00B054FE" w:rsidP="00A84CDF">
      <w:pPr>
        <w:spacing w:after="0" w:line="240" w:lineRule="auto"/>
      </w:pPr>
      <w:r>
        <w:separator/>
      </w:r>
    </w:p>
  </w:endnote>
  <w:endnote w:type="continuationSeparator" w:id="0">
    <w:p w14:paraId="6F710AC4" w14:textId="77777777" w:rsidR="00B054FE" w:rsidRDefault="00B054FE" w:rsidP="00A8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ngla MN">
    <w:panose1 w:val="00000500000000000000"/>
    <w:charset w:val="00"/>
    <w:family w:val="auto"/>
    <w:pitch w:val="variable"/>
    <w:sig w:usb0="80008003" w:usb1="1000C0C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987C8" w14:textId="77777777" w:rsidR="00726673" w:rsidRDefault="00726673">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106A57">
      <w:rPr>
        <w:noProof/>
        <w:color w:val="4F81BD" w:themeColor="accent1"/>
      </w:rPr>
      <w:t>11</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106A57">
      <w:rPr>
        <w:noProof/>
        <w:color w:val="4F81BD" w:themeColor="accent1"/>
      </w:rPr>
      <w:t>11</w:t>
    </w:r>
    <w:r>
      <w:rPr>
        <w:color w:val="4F81BD" w:themeColor="accent1"/>
      </w:rPr>
      <w:fldChar w:fldCharType="end"/>
    </w:r>
  </w:p>
  <w:p w14:paraId="43FAEECE" w14:textId="77777777" w:rsidR="00A84CDF" w:rsidRDefault="00A84CD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89AD5" w14:textId="77777777" w:rsidR="00B054FE" w:rsidRDefault="00B054FE" w:rsidP="00A84CDF">
      <w:pPr>
        <w:spacing w:after="0" w:line="240" w:lineRule="auto"/>
      </w:pPr>
      <w:r>
        <w:separator/>
      </w:r>
    </w:p>
  </w:footnote>
  <w:footnote w:type="continuationSeparator" w:id="0">
    <w:p w14:paraId="2EEB5C11" w14:textId="77777777" w:rsidR="00B054FE" w:rsidRDefault="00B054FE" w:rsidP="00A84CD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itle"/>
      <w:tag w:val=""/>
      <w:id w:val="1116400235"/>
      <w:dataBinding w:prefixMappings="xmlns:ns0='http://purl.org/dc/elements/1.1/' xmlns:ns1='http://schemas.openxmlformats.org/package/2006/metadata/core-properties' " w:xpath="/ns1:coreProperties[1]/ns0:title[1]" w:storeItemID="{6C3C8BC8-F283-45AE-878A-BAB7291924A1}"/>
      <w:text/>
    </w:sdtPr>
    <w:sdtEndPr/>
    <w:sdtContent>
      <w:p w14:paraId="3E167DED" w14:textId="77777777" w:rsidR="00726673" w:rsidRDefault="008F72DD" w:rsidP="0071154B">
        <w:pPr>
          <w:pStyle w:val="Header"/>
          <w:jc w:val="center"/>
          <w:rPr>
            <w:color w:val="7F7F7F" w:themeColor="text1" w:themeTint="80"/>
          </w:rPr>
        </w:pPr>
        <w:r>
          <w:rPr>
            <w:color w:val="7F7F7F" w:themeColor="text1" w:themeTint="80"/>
            <w:lang w:val="en-GB"/>
          </w:rPr>
          <w:t>SADC TFCAs                    Training &amp; Capacity Building                   Community of Practice</w:t>
        </w:r>
      </w:p>
    </w:sdtContent>
  </w:sdt>
  <w:p w14:paraId="7FE9D2FF" w14:textId="77777777" w:rsidR="00A84CDF" w:rsidRDefault="00A84CD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C42BA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D40D3"/>
    <w:multiLevelType w:val="hybridMultilevel"/>
    <w:tmpl w:val="2B72F994"/>
    <w:lvl w:ilvl="0" w:tplc="8B80544A">
      <w:start w:val="1"/>
      <w:numFmt w:val="decimal"/>
      <w:pStyle w:val="Heading1"/>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8F3EEF"/>
    <w:multiLevelType w:val="hybridMultilevel"/>
    <w:tmpl w:val="3A9E1EB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72A0931"/>
    <w:multiLevelType w:val="hybridMultilevel"/>
    <w:tmpl w:val="8AB8203E"/>
    <w:lvl w:ilvl="0" w:tplc="2422B552">
      <w:numFmt w:val="bullet"/>
      <w:lvlText w:val="-"/>
      <w:lvlJc w:val="left"/>
      <w:pPr>
        <w:ind w:left="405" w:hanging="360"/>
      </w:pPr>
      <w:rPr>
        <w:rFonts w:ascii="Calibri" w:eastAsiaTheme="minorHAnsi" w:hAnsi="Calibri" w:cstheme="minorBidi" w:hint="default"/>
      </w:rPr>
    </w:lvl>
    <w:lvl w:ilvl="1" w:tplc="1C090003" w:tentative="1">
      <w:start w:val="1"/>
      <w:numFmt w:val="bullet"/>
      <w:lvlText w:val="o"/>
      <w:lvlJc w:val="left"/>
      <w:pPr>
        <w:ind w:left="1125" w:hanging="360"/>
      </w:pPr>
      <w:rPr>
        <w:rFonts w:ascii="Courier New" w:hAnsi="Courier New" w:cs="Courier New" w:hint="default"/>
      </w:rPr>
    </w:lvl>
    <w:lvl w:ilvl="2" w:tplc="1C090005" w:tentative="1">
      <w:start w:val="1"/>
      <w:numFmt w:val="bullet"/>
      <w:lvlText w:val=""/>
      <w:lvlJc w:val="left"/>
      <w:pPr>
        <w:ind w:left="1845" w:hanging="360"/>
      </w:pPr>
      <w:rPr>
        <w:rFonts w:ascii="Wingdings" w:hAnsi="Wingdings" w:hint="default"/>
      </w:rPr>
    </w:lvl>
    <w:lvl w:ilvl="3" w:tplc="1C090001" w:tentative="1">
      <w:start w:val="1"/>
      <w:numFmt w:val="bullet"/>
      <w:lvlText w:val=""/>
      <w:lvlJc w:val="left"/>
      <w:pPr>
        <w:ind w:left="2565" w:hanging="360"/>
      </w:pPr>
      <w:rPr>
        <w:rFonts w:ascii="Symbol" w:hAnsi="Symbol" w:hint="default"/>
      </w:rPr>
    </w:lvl>
    <w:lvl w:ilvl="4" w:tplc="1C090003" w:tentative="1">
      <w:start w:val="1"/>
      <w:numFmt w:val="bullet"/>
      <w:lvlText w:val="o"/>
      <w:lvlJc w:val="left"/>
      <w:pPr>
        <w:ind w:left="3285" w:hanging="360"/>
      </w:pPr>
      <w:rPr>
        <w:rFonts w:ascii="Courier New" w:hAnsi="Courier New" w:cs="Courier New" w:hint="default"/>
      </w:rPr>
    </w:lvl>
    <w:lvl w:ilvl="5" w:tplc="1C090005" w:tentative="1">
      <w:start w:val="1"/>
      <w:numFmt w:val="bullet"/>
      <w:lvlText w:val=""/>
      <w:lvlJc w:val="left"/>
      <w:pPr>
        <w:ind w:left="4005" w:hanging="360"/>
      </w:pPr>
      <w:rPr>
        <w:rFonts w:ascii="Wingdings" w:hAnsi="Wingdings" w:hint="default"/>
      </w:rPr>
    </w:lvl>
    <w:lvl w:ilvl="6" w:tplc="1C090001" w:tentative="1">
      <w:start w:val="1"/>
      <w:numFmt w:val="bullet"/>
      <w:lvlText w:val=""/>
      <w:lvlJc w:val="left"/>
      <w:pPr>
        <w:ind w:left="4725" w:hanging="360"/>
      </w:pPr>
      <w:rPr>
        <w:rFonts w:ascii="Symbol" w:hAnsi="Symbol" w:hint="default"/>
      </w:rPr>
    </w:lvl>
    <w:lvl w:ilvl="7" w:tplc="1C090003" w:tentative="1">
      <w:start w:val="1"/>
      <w:numFmt w:val="bullet"/>
      <w:lvlText w:val="o"/>
      <w:lvlJc w:val="left"/>
      <w:pPr>
        <w:ind w:left="5445" w:hanging="360"/>
      </w:pPr>
      <w:rPr>
        <w:rFonts w:ascii="Courier New" w:hAnsi="Courier New" w:cs="Courier New" w:hint="default"/>
      </w:rPr>
    </w:lvl>
    <w:lvl w:ilvl="8" w:tplc="1C090005" w:tentative="1">
      <w:start w:val="1"/>
      <w:numFmt w:val="bullet"/>
      <w:lvlText w:val=""/>
      <w:lvlJc w:val="left"/>
      <w:pPr>
        <w:ind w:left="6165" w:hanging="360"/>
      </w:pPr>
      <w:rPr>
        <w:rFonts w:ascii="Wingdings" w:hAnsi="Wingdings" w:hint="default"/>
      </w:rPr>
    </w:lvl>
  </w:abstractNum>
  <w:abstractNum w:abstractNumId="4">
    <w:nsid w:val="074048E3"/>
    <w:multiLevelType w:val="hybridMultilevel"/>
    <w:tmpl w:val="E9F4B6F0"/>
    <w:lvl w:ilvl="0" w:tplc="88E8D724">
      <w:start w:val="1"/>
      <w:numFmt w:val="bullet"/>
      <w:lvlText w:val="•"/>
      <w:lvlJc w:val="left"/>
      <w:pPr>
        <w:tabs>
          <w:tab w:val="num" w:pos="720"/>
        </w:tabs>
        <w:ind w:left="720" w:hanging="360"/>
      </w:pPr>
      <w:rPr>
        <w:rFonts w:ascii="Arial" w:hAnsi="Arial" w:hint="default"/>
      </w:rPr>
    </w:lvl>
    <w:lvl w:ilvl="1" w:tplc="2DF22314" w:tentative="1">
      <w:start w:val="1"/>
      <w:numFmt w:val="bullet"/>
      <w:lvlText w:val="•"/>
      <w:lvlJc w:val="left"/>
      <w:pPr>
        <w:tabs>
          <w:tab w:val="num" w:pos="1440"/>
        </w:tabs>
        <w:ind w:left="1440" w:hanging="360"/>
      </w:pPr>
      <w:rPr>
        <w:rFonts w:ascii="Arial" w:hAnsi="Arial" w:hint="default"/>
      </w:rPr>
    </w:lvl>
    <w:lvl w:ilvl="2" w:tplc="16DC4B3E" w:tentative="1">
      <w:start w:val="1"/>
      <w:numFmt w:val="bullet"/>
      <w:lvlText w:val="•"/>
      <w:lvlJc w:val="left"/>
      <w:pPr>
        <w:tabs>
          <w:tab w:val="num" w:pos="2160"/>
        </w:tabs>
        <w:ind w:left="2160" w:hanging="360"/>
      </w:pPr>
      <w:rPr>
        <w:rFonts w:ascii="Arial" w:hAnsi="Arial" w:hint="default"/>
      </w:rPr>
    </w:lvl>
    <w:lvl w:ilvl="3" w:tplc="ED6CCB74" w:tentative="1">
      <w:start w:val="1"/>
      <w:numFmt w:val="bullet"/>
      <w:lvlText w:val="•"/>
      <w:lvlJc w:val="left"/>
      <w:pPr>
        <w:tabs>
          <w:tab w:val="num" w:pos="2880"/>
        </w:tabs>
        <w:ind w:left="2880" w:hanging="360"/>
      </w:pPr>
      <w:rPr>
        <w:rFonts w:ascii="Arial" w:hAnsi="Arial" w:hint="default"/>
      </w:rPr>
    </w:lvl>
    <w:lvl w:ilvl="4" w:tplc="B4B65046" w:tentative="1">
      <w:start w:val="1"/>
      <w:numFmt w:val="bullet"/>
      <w:lvlText w:val="•"/>
      <w:lvlJc w:val="left"/>
      <w:pPr>
        <w:tabs>
          <w:tab w:val="num" w:pos="3600"/>
        </w:tabs>
        <w:ind w:left="3600" w:hanging="360"/>
      </w:pPr>
      <w:rPr>
        <w:rFonts w:ascii="Arial" w:hAnsi="Arial" w:hint="default"/>
      </w:rPr>
    </w:lvl>
    <w:lvl w:ilvl="5" w:tplc="12DE181C" w:tentative="1">
      <w:start w:val="1"/>
      <w:numFmt w:val="bullet"/>
      <w:lvlText w:val="•"/>
      <w:lvlJc w:val="left"/>
      <w:pPr>
        <w:tabs>
          <w:tab w:val="num" w:pos="4320"/>
        </w:tabs>
        <w:ind w:left="4320" w:hanging="360"/>
      </w:pPr>
      <w:rPr>
        <w:rFonts w:ascii="Arial" w:hAnsi="Arial" w:hint="default"/>
      </w:rPr>
    </w:lvl>
    <w:lvl w:ilvl="6" w:tplc="2F3A17B6" w:tentative="1">
      <w:start w:val="1"/>
      <w:numFmt w:val="bullet"/>
      <w:lvlText w:val="•"/>
      <w:lvlJc w:val="left"/>
      <w:pPr>
        <w:tabs>
          <w:tab w:val="num" w:pos="5040"/>
        </w:tabs>
        <w:ind w:left="5040" w:hanging="360"/>
      </w:pPr>
      <w:rPr>
        <w:rFonts w:ascii="Arial" w:hAnsi="Arial" w:hint="default"/>
      </w:rPr>
    </w:lvl>
    <w:lvl w:ilvl="7" w:tplc="08921D02" w:tentative="1">
      <w:start w:val="1"/>
      <w:numFmt w:val="bullet"/>
      <w:lvlText w:val="•"/>
      <w:lvlJc w:val="left"/>
      <w:pPr>
        <w:tabs>
          <w:tab w:val="num" w:pos="5760"/>
        </w:tabs>
        <w:ind w:left="5760" w:hanging="360"/>
      </w:pPr>
      <w:rPr>
        <w:rFonts w:ascii="Arial" w:hAnsi="Arial" w:hint="default"/>
      </w:rPr>
    </w:lvl>
    <w:lvl w:ilvl="8" w:tplc="4B648A94" w:tentative="1">
      <w:start w:val="1"/>
      <w:numFmt w:val="bullet"/>
      <w:lvlText w:val="•"/>
      <w:lvlJc w:val="left"/>
      <w:pPr>
        <w:tabs>
          <w:tab w:val="num" w:pos="6480"/>
        </w:tabs>
        <w:ind w:left="6480" w:hanging="360"/>
      </w:pPr>
      <w:rPr>
        <w:rFonts w:ascii="Arial" w:hAnsi="Arial" w:hint="default"/>
      </w:rPr>
    </w:lvl>
  </w:abstractNum>
  <w:abstractNum w:abstractNumId="5">
    <w:nsid w:val="0D411F37"/>
    <w:multiLevelType w:val="hybridMultilevel"/>
    <w:tmpl w:val="5E0EB1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2D103B"/>
    <w:multiLevelType w:val="hybridMultilevel"/>
    <w:tmpl w:val="BA525A2C"/>
    <w:lvl w:ilvl="0" w:tplc="B314BD66">
      <w:start w:val="1"/>
      <w:numFmt w:val="bullet"/>
      <w:lvlText w:val="•"/>
      <w:lvlJc w:val="left"/>
      <w:pPr>
        <w:tabs>
          <w:tab w:val="num" w:pos="720"/>
        </w:tabs>
        <w:ind w:left="720" w:hanging="360"/>
      </w:pPr>
      <w:rPr>
        <w:rFonts w:ascii="Arial" w:hAnsi="Arial" w:hint="default"/>
      </w:rPr>
    </w:lvl>
    <w:lvl w:ilvl="1" w:tplc="92B01728" w:tentative="1">
      <w:start w:val="1"/>
      <w:numFmt w:val="bullet"/>
      <w:lvlText w:val="•"/>
      <w:lvlJc w:val="left"/>
      <w:pPr>
        <w:tabs>
          <w:tab w:val="num" w:pos="1440"/>
        </w:tabs>
        <w:ind w:left="1440" w:hanging="360"/>
      </w:pPr>
      <w:rPr>
        <w:rFonts w:ascii="Arial" w:hAnsi="Arial" w:hint="default"/>
      </w:rPr>
    </w:lvl>
    <w:lvl w:ilvl="2" w:tplc="A3A81006" w:tentative="1">
      <w:start w:val="1"/>
      <w:numFmt w:val="bullet"/>
      <w:lvlText w:val="•"/>
      <w:lvlJc w:val="left"/>
      <w:pPr>
        <w:tabs>
          <w:tab w:val="num" w:pos="2160"/>
        </w:tabs>
        <w:ind w:left="2160" w:hanging="360"/>
      </w:pPr>
      <w:rPr>
        <w:rFonts w:ascii="Arial" w:hAnsi="Arial" w:hint="default"/>
      </w:rPr>
    </w:lvl>
    <w:lvl w:ilvl="3" w:tplc="37D4444A" w:tentative="1">
      <w:start w:val="1"/>
      <w:numFmt w:val="bullet"/>
      <w:lvlText w:val="•"/>
      <w:lvlJc w:val="left"/>
      <w:pPr>
        <w:tabs>
          <w:tab w:val="num" w:pos="2880"/>
        </w:tabs>
        <w:ind w:left="2880" w:hanging="360"/>
      </w:pPr>
      <w:rPr>
        <w:rFonts w:ascii="Arial" w:hAnsi="Arial" w:hint="default"/>
      </w:rPr>
    </w:lvl>
    <w:lvl w:ilvl="4" w:tplc="4C222316" w:tentative="1">
      <w:start w:val="1"/>
      <w:numFmt w:val="bullet"/>
      <w:lvlText w:val="•"/>
      <w:lvlJc w:val="left"/>
      <w:pPr>
        <w:tabs>
          <w:tab w:val="num" w:pos="3600"/>
        </w:tabs>
        <w:ind w:left="3600" w:hanging="360"/>
      </w:pPr>
      <w:rPr>
        <w:rFonts w:ascii="Arial" w:hAnsi="Arial" w:hint="default"/>
      </w:rPr>
    </w:lvl>
    <w:lvl w:ilvl="5" w:tplc="4B80BD32" w:tentative="1">
      <w:start w:val="1"/>
      <w:numFmt w:val="bullet"/>
      <w:lvlText w:val="•"/>
      <w:lvlJc w:val="left"/>
      <w:pPr>
        <w:tabs>
          <w:tab w:val="num" w:pos="4320"/>
        </w:tabs>
        <w:ind w:left="4320" w:hanging="360"/>
      </w:pPr>
      <w:rPr>
        <w:rFonts w:ascii="Arial" w:hAnsi="Arial" w:hint="default"/>
      </w:rPr>
    </w:lvl>
    <w:lvl w:ilvl="6" w:tplc="D766F0D0" w:tentative="1">
      <w:start w:val="1"/>
      <w:numFmt w:val="bullet"/>
      <w:lvlText w:val="•"/>
      <w:lvlJc w:val="left"/>
      <w:pPr>
        <w:tabs>
          <w:tab w:val="num" w:pos="5040"/>
        </w:tabs>
        <w:ind w:left="5040" w:hanging="360"/>
      </w:pPr>
      <w:rPr>
        <w:rFonts w:ascii="Arial" w:hAnsi="Arial" w:hint="default"/>
      </w:rPr>
    </w:lvl>
    <w:lvl w:ilvl="7" w:tplc="259E9B0A" w:tentative="1">
      <w:start w:val="1"/>
      <w:numFmt w:val="bullet"/>
      <w:lvlText w:val="•"/>
      <w:lvlJc w:val="left"/>
      <w:pPr>
        <w:tabs>
          <w:tab w:val="num" w:pos="5760"/>
        </w:tabs>
        <w:ind w:left="5760" w:hanging="360"/>
      </w:pPr>
      <w:rPr>
        <w:rFonts w:ascii="Arial" w:hAnsi="Arial" w:hint="default"/>
      </w:rPr>
    </w:lvl>
    <w:lvl w:ilvl="8" w:tplc="34D653AA" w:tentative="1">
      <w:start w:val="1"/>
      <w:numFmt w:val="bullet"/>
      <w:lvlText w:val="•"/>
      <w:lvlJc w:val="left"/>
      <w:pPr>
        <w:tabs>
          <w:tab w:val="num" w:pos="6480"/>
        </w:tabs>
        <w:ind w:left="6480" w:hanging="360"/>
      </w:pPr>
      <w:rPr>
        <w:rFonts w:ascii="Arial" w:hAnsi="Arial" w:hint="default"/>
      </w:rPr>
    </w:lvl>
  </w:abstractNum>
  <w:abstractNum w:abstractNumId="7">
    <w:nsid w:val="1F262229"/>
    <w:multiLevelType w:val="hybridMultilevel"/>
    <w:tmpl w:val="567A04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4471C9"/>
    <w:multiLevelType w:val="hybridMultilevel"/>
    <w:tmpl w:val="14A69E0C"/>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235C2B34"/>
    <w:multiLevelType w:val="hybridMultilevel"/>
    <w:tmpl w:val="976806C8"/>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264F65F9"/>
    <w:multiLevelType w:val="hybridMultilevel"/>
    <w:tmpl w:val="9522B684"/>
    <w:lvl w:ilvl="0" w:tplc="9CD05F34">
      <w:start w:val="1"/>
      <w:numFmt w:val="bullet"/>
      <w:lvlText w:val="•"/>
      <w:lvlJc w:val="left"/>
      <w:pPr>
        <w:tabs>
          <w:tab w:val="num" w:pos="720"/>
        </w:tabs>
        <w:ind w:left="720" w:hanging="360"/>
      </w:pPr>
      <w:rPr>
        <w:rFonts w:ascii="Arial" w:hAnsi="Arial" w:hint="default"/>
      </w:rPr>
    </w:lvl>
    <w:lvl w:ilvl="1" w:tplc="E5C8A8A0" w:tentative="1">
      <w:start w:val="1"/>
      <w:numFmt w:val="bullet"/>
      <w:lvlText w:val="•"/>
      <w:lvlJc w:val="left"/>
      <w:pPr>
        <w:tabs>
          <w:tab w:val="num" w:pos="1440"/>
        </w:tabs>
        <w:ind w:left="1440" w:hanging="360"/>
      </w:pPr>
      <w:rPr>
        <w:rFonts w:ascii="Arial" w:hAnsi="Arial" w:hint="default"/>
      </w:rPr>
    </w:lvl>
    <w:lvl w:ilvl="2" w:tplc="89F28552" w:tentative="1">
      <w:start w:val="1"/>
      <w:numFmt w:val="bullet"/>
      <w:lvlText w:val="•"/>
      <w:lvlJc w:val="left"/>
      <w:pPr>
        <w:tabs>
          <w:tab w:val="num" w:pos="2160"/>
        </w:tabs>
        <w:ind w:left="2160" w:hanging="360"/>
      </w:pPr>
      <w:rPr>
        <w:rFonts w:ascii="Arial" w:hAnsi="Arial" w:hint="default"/>
      </w:rPr>
    </w:lvl>
    <w:lvl w:ilvl="3" w:tplc="26D41B6A" w:tentative="1">
      <w:start w:val="1"/>
      <w:numFmt w:val="bullet"/>
      <w:lvlText w:val="•"/>
      <w:lvlJc w:val="left"/>
      <w:pPr>
        <w:tabs>
          <w:tab w:val="num" w:pos="2880"/>
        </w:tabs>
        <w:ind w:left="2880" w:hanging="360"/>
      </w:pPr>
      <w:rPr>
        <w:rFonts w:ascii="Arial" w:hAnsi="Arial" w:hint="default"/>
      </w:rPr>
    </w:lvl>
    <w:lvl w:ilvl="4" w:tplc="12CEBC32" w:tentative="1">
      <w:start w:val="1"/>
      <w:numFmt w:val="bullet"/>
      <w:lvlText w:val="•"/>
      <w:lvlJc w:val="left"/>
      <w:pPr>
        <w:tabs>
          <w:tab w:val="num" w:pos="3600"/>
        </w:tabs>
        <w:ind w:left="3600" w:hanging="360"/>
      </w:pPr>
      <w:rPr>
        <w:rFonts w:ascii="Arial" w:hAnsi="Arial" w:hint="default"/>
      </w:rPr>
    </w:lvl>
    <w:lvl w:ilvl="5" w:tplc="6DB2E8FA" w:tentative="1">
      <w:start w:val="1"/>
      <w:numFmt w:val="bullet"/>
      <w:lvlText w:val="•"/>
      <w:lvlJc w:val="left"/>
      <w:pPr>
        <w:tabs>
          <w:tab w:val="num" w:pos="4320"/>
        </w:tabs>
        <w:ind w:left="4320" w:hanging="360"/>
      </w:pPr>
      <w:rPr>
        <w:rFonts w:ascii="Arial" w:hAnsi="Arial" w:hint="default"/>
      </w:rPr>
    </w:lvl>
    <w:lvl w:ilvl="6" w:tplc="5F883946" w:tentative="1">
      <w:start w:val="1"/>
      <w:numFmt w:val="bullet"/>
      <w:lvlText w:val="•"/>
      <w:lvlJc w:val="left"/>
      <w:pPr>
        <w:tabs>
          <w:tab w:val="num" w:pos="5040"/>
        </w:tabs>
        <w:ind w:left="5040" w:hanging="360"/>
      </w:pPr>
      <w:rPr>
        <w:rFonts w:ascii="Arial" w:hAnsi="Arial" w:hint="default"/>
      </w:rPr>
    </w:lvl>
    <w:lvl w:ilvl="7" w:tplc="B46404A6" w:tentative="1">
      <w:start w:val="1"/>
      <w:numFmt w:val="bullet"/>
      <w:lvlText w:val="•"/>
      <w:lvlJc w:val="left"/>
      <w:pPr>
        <w:tabs>
          <w:tab w:val="num" w:pos="5760"/>
        </w:tabs>
        <w:ind w:left="5760" w:hanging="360"/>
      </w:pPr>
      <w:rPr>
        <w:rFonts w:ascii="Arial" w:hAnsi="Arial" w:hint="default"/>
      </w:rPr>
    </w:lvl>
    <w:lvl w:ilvl="8" w:tplc="CB24ABDA" w:tentative="1">
      <w:start w:val="1"/>
      <w:numFmt w:val="bullet"/>
      <w:lvlText w:val="•"/>
      <w:lvlJc w:val="left"/>
      <w:pPr>
        <w:tabs>
          <w:tab w:val="num" w:pos="6480"/>
        </w:tabs>
        <w:ind w:left="6480" w:hanging="360"/>
      </w:pPr>
      <w:rPr>
        <w:rFonts w:ascii="Arial" w:hAnsi="Arial" w:hint="default"/>
      </w:rPr>
    </w:lvl>
  </w:abstractNum>
  <w:abstractNum w:abstractNumId="11">
    <w:nsid w:val="2ECD20F6"/>
    <w:multiLevelType w:val="hybridMultilevel"/>
    <w:tmpl w:val="4EB02CD0"/>
    <w:lvl w:ilvl="0" w:tplc="73DE78D2">
      <w:numFmt w:val="bullet"/>
      <w:lvlText w:val="-"/>
      <w:lvlJc w:val="left"/>
      <w:pPr>
        <w:ind w:left="720" w:hanging="36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30BD01BB"/>
    <w:multiLevelType w:val="hybridMultilevel"/>
    <w:tmpl w:val="40FEC262"/>
    <w:lvl w:ilvl="0" w:tplc="C6D42D3A">
      <w:start w:val="1"/>
      <w:numFmt w:val="bullet"/>
      <w:lvlText w:val="•"/>
      <w:lvlJc w:val="left"/>
      <w:pPr>
        <w:tabs>
          <w:tab w:val="num" w:pos="720"/>
        </w:tabs>
        <w:ind w:left="720" w:hanging="360"/>
      </w:pPr>
      <w:rPr>
        <w:rFonts w:ascii="Arial" w:hAnsi="Arial" w:hint="default"/>
      </w:rPr>
    </w:lvl>
    <w:lvl w:ilvl="1" w:tplc="6BB46734" w:tentative="1">
      <w:start w:val="1"/>
      <w:numFmt w:val="bullet"/>
      <w:lvlText w:val="•"/>
      <w:lvlJc w:val="left"/>
      <w:pPr>
        <w:tabs>
          <w:tab w:val="num" w:pos="1440"/>
        </w:tabs>
        <w:ind w:left="1440" w:hanging="360"/>
      </w:pPr>
      <w:rPr>
        <w:rFonts w:ascii="Arial" w:hAnsi="Arial" w:hint="default"/>
      </w:rPr>
    </w:lvl>
    <w:lvl w:ilvl="2" w:tplc="A53EC9B2" w:tentative="1">
      <w:start w:val="1"/>
      <w:numFmt w:val="bullet"/>
      <w:lvlText w:val="•"/>
      <w:lvlJc w:val="left"/>
      <w:pPr>
        <w:tabs>
          <w:tab w:val="num" w:pos="2160"/>
        </w:tabs>
        <w:ind w:left="2160" w:hanging="360"/>
      </w:pPr>
      <w:rPr>
        <w:rFonts w:ascii="Arial" w:hAnsi="Arial" w:hint="default"/>
      </w:rPr>
    </w:lvl>
    <w:lvl w:ilvl="3" w:tplc="6756C562" w:tentative="1">
      <w:start w:val="1"/>
      <w:numFmt w:val="bullet"/>
      <w:lvlText w:val="•"/>
      <w:lvlJc w:val="left"/>
      <w:pPr>
        <w:tabs>
          <w:tab w:val="num" w:pos="2880"/>
        </w:tabs>
        <w:ind w:left="2880" w:hanging="360"/>
      </w:pPr>
      <w:rPr>
        <w:rFonts w:ascii="Arial" w:hAnsi="Arial" w:hint="default"/>
      </w:rPr>
    </w:lvl>
    <w:lvl w:ilvl="4" w:tplc="D660CDDA" w:tentative="1">
      <w:start w:val="1"/>
      <w:numFmt w:val="bullet"/>
      <w:lvlText w:val="•"/>
      <w:lvlJc w:val="left"/>
      <w:pPr>
        <w:tabs>
          <w:tab w:val="num" w:pos="3600"/>
        </w:tabs>
        <w:ind w:left="3600" w:hanging="360"/>
      </w:pPr>
      <w:rPr>
        <w:rFonts w:ascii="Arial" w:hAnsi="Arial" w:hint="default"/>
      </w:rPr>
    </w:lvl>
    <w:lvl w:ilvl="5" w:tplc="A8EE29BC" w:tentative="1">
      <w:start w:val="1"/>
      <w:numFmt w:val="bullet"/>
      <w:lvlText w:val="•"/>
      <w:lvlJc w:val="left"/>
      <w:pPr>
        <w:tabs>
          <w:tab w:val="num" w:pos="4320"/>
        </w:tabs>
        <w:ind w:left="4320" w:hanging="360"/>
      </w:pPr>
      <w:rPr>
        <w:rFonts w:ascii="Arial" w:hAnsi="Arial" w:hint="default"/>
      </w:rPr>
    </w:lvl>
    <w:lvl w:ilvl="6" w:tplc="5AE0B698" w:tentative="1">
      <w:start w:val="1"/>
      <w:numFmt w:val="bullet"/>
      <w:lvlText w:val="•"/>
      <w:lvlJc w:val="left"/>
      <w:pPr>
        <w:tabs>
          <w:tab w:val="num" w:pos="5040"/>
        </w:tabs>
        <w:ind w:left="5040" w:hanging="360"/>
      </w:pPr>
      <w:rPr>
        <w:rFonts w:ascii="Arial" w:hAnsi="Arial" w:hint="default"/>
      </w:rPr>
    </w:lvl>
    <w:lvl w:ilvl="7" w:tplc="8178801E" w:tentative="1">
      <w:start w:val="1"/>
      <w:numFmt w:val="bullet"/>
      <w:lvlText w:val="•"/>
      <w:lvlJc w:val="left"/>
      <w:pPr>
        <w:tabs>
          <w:tab w:val="num" w:pos="5760"/>
        </w:tabs>
        <w:ind w:left="5760" w:hanging="360"/>
      </w:pPr>
      <w:rPr>
        <w:rFonts w:ascii="Arial" w:hAnsi="Arial" w:hint="default"/>
      </w:rPr>
    </w:lvl>
    <w:lvl w:ilvl="8" w:tplc="A2205154" w:tentative="1">
      <w:start w:val="1"/>
      <w:numFmt w:val="bullet"/>
      <w:lvlText w:val="•"/>
      <w:lvlJc w:val="left"/>
      <w:pPr>
        <w:tabs>
          <w:tab w:val="num" w:pos="6480"/>
        </w:tabs>
        <w:ind w:left="6480" w:hanging="360"/>
      </w:pPr>
      <w:rPr>
        <w:rFonts w:ascii="Arial" w:hAnsi="Arial" w:hint="default"/>
      </w:rPr>
    </w:lvl>
  </w:abstractNum>
  <w:abstractNum w:abstractNumId="13">
    <w:nsid w:val="313B5B8F"/>
    <w:multiLevelType w:val="hybridMultilevel"/>
    <w:tmpl w:val="A616468C"/>
    <w:lvl w:ilvl="0" w:tplc="73DE78D2">
      <w:numFmt w:val="bullet"/>
      <w:lvlText w:val="-"/>
      <w:lvlJc w:val="left"/>
      <w:pPr>
        <w:ind w:left="720" w:hanging="36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35506CCF"/>
    <w:multiLevelType w:val="hybridMultilevel"/>
    <w:tmpl w:val="2C8C55EC"/>
    <w:lvl w:ilvl="0" w:tplc="9222BCF8">
      <w:start w:val="1"/>
      <w:numFmt w:val="bullet"/>
      <w:lvlText w:val="•"/>
      <w:lvlJc w:val="left"/>
      <w:pPr>
        <w:tabs>
          <w:tab w:val="num" w:pos="720"/>
        </w:tabs>
        <w:ind w:left="720" w:hanging="360"/>
      </w:pPr>
      <w:rPr>
        <w:rFonts w:ascii="Arial" w:hAnsi="Arial" w:hint="default"/>
      </w:rPr>
    </w:lvl>
    <w:lvl w:ilvl="1" w:tplc="0BA62D2C" w:tentative="1">
      <w:start w:val="1"/>
      <w:numFmt w:val="bullet"/>
      <w:lvlText w:val="•"/>
      <w:lvlJc w:val="left"/>
      <w:pPr>
        <w:tabs>
          <w:tab w:val="num" w:pos="1440"/>
        </w:tabs>
        <w:ind w:left="1440" w:hanging="360"/>
      </w:pPr>
      <w:rPr>
        <w:rFonts w:ascii="Arial" w:hAnsi="Arial" w:hint="default"/>
      </w:rPr>
    </w:lvl>
    <w:lvl w:ilvl="2" w:tplc="73389506" w:tentative="1">
      <w:start w:val="1"/>
      <w:numFmt w:val="bullet"/>
      <w:lvlText w:val="•"/>
      <w:lvlJc w:val="left"/>
      <w:pPr>
        <w:tabs>
          <w:tab w:val="num" w:pos="2160"/>
        </w:tabs>
        <w:ind w:left="2160" w:hanging="360"/>
      </w:pPr>
      <w:rPr>
        <w:rFonts w:ascii="Arial" w:hAnsi="Arial" w:hint="default"/>
      </w:rPr>
    </w:lvl>
    <w:lvl w:ilvl="3" w:tplc="B09839DC" w:tentative="1">
      <w:start w:val="1"/>
      <w:numFmt w:val="bullet"/>
      <w:lvlText w:val="•"/>
      <w:lvlJc w:val="left"/>
      <w:pPr>
        <w:tabs>
          <w:tab w:val="num" w:pos="2880"/>
        </w:tabs>
        <w:ind w:left="2880" w:hanging="360"/>
      </w:pPr>
      <w:rPr>
        <w:rFonts w:ascii="Arial" w:hAnsi="Arial" w:hint="default"/>
      </w:rPr>
    </w:lvl>
    <w:lvl w:ilvl="4" w:tplc="22544270" w:tentative="1">
      <w:start w:val="1"/>
      <w:numFmt w:val="bullet"/>
      <w:lvlText w:val="•"/>
      <w:lvlJc w:val="left"/>
      <w:pPr>
        <w:tabs>
          <w:tab w:val="num" w:pos="3600"/>
        </w:tabs>
        <w:ind w:left="3600" w:hanging="360"/>
      </w:pPr>
      <w:rPr>
        <w:rFonts w:ascii="Arial" w:hAnsi="Arial" w:hint="default"/>
      </w:rPr>
    </w:lvl>
    <w:lvl w:ilvl="5" w:tplc="288027B0" w:tentative="1">
      <w:start w:val="1"/>
      <w:numFmt w:val="bullet"/>
      <w:lvlText w:val="•"/>
      <w:lvlJc w:val="left"/>
      <w:pPr>
        <w:tabs>
          <w:tab w:val="num" w:pos="4320"/>
        </w:tabs>
        <w:ind w:left="4320" w:hanging="360"/>
      </w:pPr>
      <w:rPr>
        <w:rFonts w:ascii="Arial" w:hAnsi="Arial" w:hint="default"/>
      </w:rPr>
    </w:lvl>
    <w:lvl w:ilvl="6" w:tplc="FAF8C0A8" w:tentative="1">
      <w:start w:val="1"/>
      <w:numFmt w:val="bullet"/>
      <w:lvlText w:val="•"/>
      <w:lvlJc w:val="left"/>
      <w:pPr>
        <w:tabs>
          <w:tab w:val="num" w:pos="5040"/>
        </w:tabs>
        <w:ind w:left="5040" w:hanging="360"/>
      </w:pPr>
      <w:rPr>
        <w:rFonts w:ascii="Arial" w:hAnsi="Arial" w:hint="default"/>
      </w:rPr>
    </w:lvl>
    <w:lvl w:ilvl="7" w:tplc="71FA1ECA" w:tentative="1">
      <w:start w:val="1"/>
      <w:numFmt w:val="bullet"/>
      <w:lvlText w:val="•"/>
      <w:lvlJc w:val="left"/>
      <w:pPr>
        <w:tabs>
          <w:tab w:val="num" w:pos="5760"/>
        </w:tabs>
        <w:ind w:left="5760" w:hanging="360"/>
      </w:pPr>
      <w:rPr>
        <w:rFonts w:ascii="Arial" w:hAnsi="Arial" w:hint="default"/>
      </w:rPr>
    </w:lvl>
    <w:lvl w:ilvl="8" w:tplc="B5CAB0C4" w:tentative="1">
      <w:start w:val="1"/>
      <w:numFmt w:val="bullet"/>
      <w:lvlText w:val="•"/>
      <w:lvlJc w:val="left"/>
      <w:pPr>
        <w:tabs>
          <w:tab w:val="num" w:pos="6480"/>
        </w:tabs>
        <w:ind w:left="6480" w:hanging="360"/>
      </w:pPr>
      <w:rPr>
        <w:rFonts w:ascii="Arial" w:hAnsi="Arial" w:hint="default"/>
      </w:rPr>
    </w:lvl>
  </w:abstractNum>
  <w:abstractNum w:abstractNumId="15">
    <w:nsid w:val="3C6D5F25"/>
    <w:multiLevelType w:val="hybridMultilevel"/>
    <w:tmpl w:val="9EC2F1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ED5D72"/>
    <w:multiLevelType w:val="hybridMultilevel"/>
    <w:tmpl w:val="37D433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5266D8"/>
    <w:multiLevelType w:val="hybridMultilevel"/>
    <w:tmpl w:val="5A2A99D0"/>
    <w:lvl w:ilvl="0" w:tplc="6AAA6F4A">
      <w:start w:val="1"/>
      <w:numFmt w:val="decimal"/>
      <w:lvlText w:val="%1."/>
      <w:lvlJc w:val="left"/>
      <w:pPr>
        <w:tabs>
          <w:tab w:val="num" w:pos="720"/>
        </w:tabs>
        <w:ind w:left="720" w:hanging="360"/>
      </w:pPr>
    </w:lvl>
    <w:lvl w:ilvl="1" w:tplc="DBA00D7A" w:tentative="1">
      <w:start w:val="1"/>
      <w:numFmt w:val="decimal"/>
      <w:lvlText w:val="%2."/>
      <w:lvlJc w:val="left"/>
      <w:pPr>
        <w:tabs>
          <w:tab w:val="num" w:pos="1440"/>
        </w:tabs>
        <w:ind w:left="1440" w:hanging="360"/>
      </w:pPr>
    </w:lvl>
    <w:lvl w:ilvl="2" w:tplc="5C3030E6" w:tentative="1">
      <w:start w:val="1"/>
      <w:numFmt w:val="decimal"/>
      <w:lvlText w:val="%3."/>
      <w:lvlJc w:val="left"/>
      <w:pPr>
        <w:tabs>
          <w:tab w:val="num" w:pos="2160"/>
        </w:tabs>
        <w:ind w:left="2160" w:hanging="360"/>
      </w:pPr>
    </w:lvl>
    <w:lvl w:ilvl="3" w:tplc="4262F43A" w:tentative="1">
      <w:start w:val="1"/>
      <w:numFmt w:val="decimal"/>
      <w:lvlText w:val="%4."/>
      <w:lvlJc w:val="left"/>
      <w:pPr>
        <w:tabs>
          <w:tab w:val="num" w:pos="2880"/>
        </w:tabs>
        <w:ind w:left="2880" w:hanging="360"/>
      </w:pPr>
    </w:lvl>
    <w:lvl w:ilvl="4" w:tplc="FE049916" w:tentative="1">
      <w:start w:val="1"/>
      <w:numFmt w:val="decimal"/>
      <w:lvlText w:val="%5."/>
      <w:lvlJc w:val="left"/>
      <w:pPr>
        <w:tabs>
          <w:tab w:val="num" w:pos="3600"/>
        </w:tabs>
        <w:ind w:left="3600" w:hanging="360"/>
      </w:pPr>
    </w:lvl>
    <w:lvl w:ilvl="5" w:tplc="8BF0DC6C" w:tentative="1">
      <w:start w:val="1"/>
      <w:numFmt w:val="decimal"/>
      <w:lvlText w:val="%6."/>
      <w:lvlJc w:val="left"/>
      <w:pPr>
        <w:tabs>
          <w:tab w:val="num" w:pos="4320"/>
        </w:tabs>
        <w:ind w:left="4320" w:hanging="360"/>
      </w:pPr>
    </w:lvl>
    <w:lvl w:ilvl="6" w:tplc="C7C8FD68" w:tentative="1">
      <w:start w:val="1"/>
      <w:numFmt w:val="decimal"/>
      <w:lvlText w:val="%7."/>
      <w:lvlJc w:val="left"/>
      <w:pPr>
        <w:tabs>
          <w:tab w:val="num" w:pos="5040"/>
        </w:tabs>
        <w:ind w:left="5040" w:hanging="360"/>
      </w:pPr>
    </w:lvl>
    <w:lvl w:ilvl="7" w:tplc="2E9A1D04" w:tentative="1">
      <w:start w:val="1"/>
      <w:numFmt w:val="decimal"/>
      <w:lvlText w:val="%8."/>
      <w:lvlJc w:val="left"/>
      <w:pPr>
        <w:tabs>
          <w:tab w:val="num" w:pos="5760"/>
        </w:tabs>
        <w:ind w:left="5760" w:hanging="360"/>
      </w:pPr>
    </w:lvl>
    <w:lvl w:ilvl="8" w:tplc="9828C808" w:tentative="1">
      <w:start w:val="1"/>
      <w:numFmt w:val="decimal"/>
      <w:lvlText w:val="%9."/>
      <w:lvlJc w:val="left"/>
      <w:pPr>
        <w:tabs>
          <w:tab w:val="num" w:pos="6480"/>
        </w:tabs>
        <w:ind w:left="6480" w:hanging="360"/>
      </w:pPr>
    </w:lvl>
  </w:abstractNum>
  <w:abstractNum w:abstractNumId="18">
    <w:nsid w:val="4E5D0F82"/>
    <w:multiLevelType w:val="hybridMultilevel"/>
    <w:tmpl w:val="494A2D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5CF333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E1A5299"/>
    <w:multiLevelType w:val="hybridMultilevel"/>
    <w:tmpl w:val="1F3EEA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E4C4240"/>
    <w:multiLevelType w:val="hybridMultilevel"/>
    <w:tmpl w:val="97229FB6"/>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2">
    <w:nsid w:val="659B3AE5"/>
    <w:multiLevelType w:val="hybridMultilevel"/>
    <w:tmpl w:val="2F94D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FB0763C"/>
    <w:multiLevelType w:val="hybridMultilevel"/>
    <w:tmpl w:val="436AA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8E417B4"/>
    <w:multiLevelType w:val="hybridMultilevel"/>
    <w:tmpl w:val="01D00524"/>
    <w:lvl w:ilvl="0" w:tplc="9A624A5E">
      <w:start w:val="1"/>
      <w:numFmt w:val="bullet"/>
      <w:lvlText w:val="•"/>
      <w:lvlJc w:val="left"/>
      <w:pPr>
        <w:tabs>
          <w:tab w:val="num" w:pos="720"/>
        </w:tabs>
        <w:ind w:left="720" w:hanging="360"/>
      </w:pPr>
      <w:rPr>
        <w:rFonts w:ascii="Arial" w:hAnsi="Arial" w:hint="default"/>
      </w:rPr>
    </w:lvl>
    <w:lvl w:ilvl="1" w:tplc="6B02A7AE" w:tentative="1">
      <w:start w:val="1"/>
      <w:numFmt w:val="bullet"/>
      <w:lvlText w:val="•"/>
      <w:lvlJc w:val="left"/>
      <w:pPr>
        <w:tabs>
          <w:tab w:val="num" w:pos="1440"/>
        </w:tabs>
        <w:ind w:left="1440" w:hanging="360"/>
      </w:pPr>
      <w:rPr>
        <w:rFonts w:ascii="Arial" w:hAnsi="Arial" w:hint="default"/>
      </w:rPr>
    </w:lvl>
    <w:lvl w:ilvl="2" w:tplc="35963FDE" w:tentative="1">
      <w:start w:val="1"/>
      <w:numFmt w:val="bullet"/>
      <w:lvlText w:val="•"/>
      <w:lvlJc w:val="left"/>
      <w:pPr>
        <w:tabs>
          <w:tab w:val="num" w:pos="2160"/>
        </w:tabs>
        <w:ind w:left="2160" w:hanging="360"/>
      </w:pPr>
      <w:rPr>
        <w:rFonts w:ascii="Arial" w:hAnsi="Arial" w:hint="default"/>
      </w:rPr>
    </w:lvl>
    <w:lvl w:ilvl="3" w:tplc="9A0EA1C8" w:tentative="1">
      <w:start w:val="1"/>
      <w:numFmt w:val="bullet"/>
      <w:lvlText w:val="•"/>
      <w:lvlJc w:val="left"/>
      <w:pPr>
        <w:tabs>
          <w:tab w:val="num" w:pos="2880"/>
        </w:tabs>
        <w:ind w:left="2880" w:hanging="360"/>
      </w:pPr>
      <w:rPr>
        <w:rFonts w:ascii="Arial" w:hAnsi="Arial" w:hint="default"/>
      </w:rPr>
    </w:lvl>
    <w:lvl w:ilvl="4" w:tplc="ED80EB22" w:tentative="1">
      <w:start w:val="1"/>
      <w:numFmt w:val="bullet"/>
      <w:lvlText w:val="•"/>
      <w:lvlJc w:val="left"/>
      <w:pPr>
        <w:tabs>
          <w:tab w:val="num" w:pos="3600"/>
        </w:tabs>
        <w:ind w:left="3600" w:hanging="360"/>
      </w:pPr>
      <w:rPr>
        <w:rFonts w:ascii="Arial" w:hAnsi="Arial" w:hint="default"/>
      </w:rPr>
    </w:lvl>
    <w:lvl w:ilvl="5" w:tplc="FBF22710" w:tentative="1">
      <w:start w:val="1"/>
      <w:numFmt w:val="bullet"/>
      <w:lvlText w:val="•"/>
      <w:lvlJc w:val="left"/>
      <w:pPr>
        <w:tabs>
          <w:tab w:val="num" w:pos="4320"/>
        </w:tabs>
        <w:ind w:left="4320" w:hanging="360"/>
      </w:pPr>
      <w:rPr>
        <w:rFonts w:ascii="Arial" w:hAnsi="Arial" w:hint="default"/>
      </w:rPr>
    </w:lvl>
    <w:lvl w:ilvl="6" w:tplc="E9A2B1B0" w:tentative="1">
      <w:start w:val="1"/>
      <w:numFmt w:val="bullet"/>
      <w:lvlText w:val="•"/>
      <w:lvlJc w:val="left"/>
      <w:pPr>
        <w:tabs>
          <w:tab w:val="num" w:pos="5040"/>
        </w:tabs>
        <w:ind w:left="5040" w:hanging="360"/>
      </w:pPr>
      <w:rPr>
        <w:rFonts w:ascii="Arial" w:hAnsi="Arial" w:hint="default"/>
      </w:rPr>
    </w:lvl>
    <w:lvl w:ilvl="7" w:tplc="20E43948" w:tentative="1">
      <w:start w:val="1"/>
      <w:numFmt w:val="bullet"/>
      <w:lvlText w:val="•"/>
      <w:lvlJc w:val="left"/>
      <w:pPr>
        <w:tabs>
          <w:tab w:val="num" w:pos="5760"/>
        </w:tabs>
        <w:ind w:left="5760" w:hanging="360"/>
      </w:pPr>
      <w:rPr>
        <w:rFonts w:ascii="Arial" w:hAnsi="Arial" w:hint="default"/>
      </w:rPr>
    </w:lvl>
    <w:lvl w:ilvl="8" w:tplc="0CBCCB1C" w:tentative="1">
      <w:start w:val="1"/>
      <w:numFmt w:val="bullet"/>
      <w:lvlText w:val="•"/>
      <w:lvlJc w:val="left"/>
      <w:pPr>
        <w:tabs>
          <w:tab w:val="num" w:pos="6480"/>
        </w:tabs>
        <w:ind w:left="6480" w:hanging="360"/>
      </w:pPr>
      <w:rPr>
        <w:rFonts w:ascii="Arial" w:hAnsi="Arial" w:hint="default"/>
      </w:rPr>
    </w:lvl>
  </w:abstractNum>
  <w:abstractNum w:abstractNumId="25">
    <w:nsid w:val="7A4D3638"/>
    <w:multiLevelType w:val="hybridMultilevel"/>
    <w:tmpl w:val="9B76A03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18"/>
  </w:num>
  <w:num w:numId="4">
    <w:abstractNumId w:val="13"/>
  </w:num>
  <w:num w:numId="5">
    <w:abstractNumId w:val="11"/>
  </w:num>
  <w:num w:numId="6">
    <w:abstractNumId w:val="15"/>
  </w:num>
  <w:num w:numId="7">
    <w:abstractNumId w:val="20"/>
  </w:num>
  <w:num w:numId="8">
    <w:abstractNumId w:val="22"/>
  </w:num>
  <w:num w:numId="9">
    <w:abstractNumId w:val="1"/>
  </w:num>
  <w:num w:numId="10">
    <w:abstractNumId w:val="19"/>
  </w:num>
  <w:num w:numId="11">
    <w:abstractNumId w:val="21"/>
  </w:num>
  <w:num w:numId="12">
    <w:abstractNumId w:val="2"/>
  </w:num>
  <w:num w:numId="13">
    <w:abstractNumId w:val="7"/>
  </w:num>
  <w:num w:numId="14">
    <w:abstractNumId w:val="16"/>
  </w:num>
  <w:num w:numId="15">
    <w:abstractNumId w:val="9"/>
  </w:num>
  <w:num w:numId="16">
    <w:abstractNumId w:val="5"/>
  </w:num>
  <w:num w:numId="17">
    <w:abstractNumId w:val="23"/>
  </w:num>
  <w:num w:numId="18">
    <w:abstractNumId w:val="10"/>
  </w:num>
  <w:num w:numId="19">
    <w:abstractNumId w:val="4"/>
  </w:num>
  <w:num w:numId="20">
    <w:abstractNumId w:val="14"/>
  </w:num>
  <w:num w:numId="21">
    <w:abstractNumId w:val="24"/>
  </w:num>
  <w:num w:numId="22">
    <w:abstractNumId w:val="6"/>
  </w:num>
  <w:num w:numId="23">
    <w:abstractNumId w:val="12"/>
  </w:num>
  <w:num w:numId="24">
    <w:abstractNumId w:val="17"/>
  </w:num>
  <w:num w:numId="25">
    <w:abstractNumId w:val="8"/>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9"/>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7F6"/>
    <w:rsid w:val="000063F4"/>
    <w:rsid w:val="000275A0"/>
    <w:rsid w:val="00051F4C"/>
    <w:rsid w:val="0006563B"/>
    <w:rsid w:val="00077974"/>
    <w:rsid w:val="0009385A"/>
    <w:rsid w:val="000B3505"/>
    <w:rsid w:val="000B56DB"/>
    <w:rsid w:val="000C7481"/>
    <w:rsid w:val="000D27C3"/>
    <w:rsid w:val="000F58F0"/>
    <w:rsid w:val="00106A57"/>
    <w:rsid w:val="0012093E"/>
    <w:rsid w:val="00122DF4"/>
    <w:rsid w:val="00144328"/>
    <w:rsid w:val="00154D1B"/>
    <w:rsid w:val="001A0651"/>
    <w:rsid w:val="00211B04"/>
    <w:rsid w:val="00212CBE"/>
    <w:rsid w:val="00235DB0"/>
    <w:rsid w:val="00246B12"/>
    <w:rsid w:val="00255AAD"/>
    <w:rsid w:val="002642D1"/>
    <w:rsid w:val="00272244"/>
    <w:rsid w:val="0029308A"/>
    <w:rsid w:val="00297BEE"/>
    <w:rsid w:val="002A2578"/>
    <w:rsid w:val="002A3623"/>
    <w:rsid w:val="002D36AE"/>
    <w:rsid w:val="003002C6"/>
    <w:rsid w:val="0035551F"/>
    <w:rsid w:val="00377CE1"/>
    <w:rsid w:val="003A17A0"/>
    <w:rsid w:val="003C4DCC"/>
    <w:rsid w:val="003E7C1E"/>
    <w:rsid w:val="003F377D"/>
    <w:rsid w:val="00415020"/>
    <w:rsid w:val="00433B20"/>
    <w:rsid w:val="004510B3"/>
    <w:rsid w:val="004517F0"/>
    <w:rsid w:val="00476477"/>
    <w:rsid w:val="004A561B"/>
    <w:rsid w:val="004C6111"/>
    <w:rsid w:val="00517376"/>
    <w:rsid w:val="005323A0"/>
    <w:rsid w:val="00586430"/>
    <w:rsid w:val="005A1EBC"/>
    <w:rsid w:val="005B2BC3"/>
    <w:rsid w:val="005B7088"/>
    <w:rsid w:val="005C3EF9"/>
    <w:rsid w:val="005E3E91"/>
    <w:rsid w:val="005E78C6"/>
    <w:rsid w:val="005F6F0A"/>
    <w:rsid w:val="006114FB"/>
    <w:rsid w:val="006251DB"/>
    <w:rsid w:val="006472A5"/>
    <w:rsid w:val="006605E1"/>
    <w:rsid w:val="00670067"/>
    <w:rsid w:val="006A55B4"/>
    <w:rsid w:val="006A55EA"/>
    <w:rsid w:val="006E7630"/>
    <w:rsid w:val="0071154B"/>
    <w:rsid w:val="00726673"/>
    <w:rsid w:val="007719D1"/>
    <w:rsid w:val="00781BCD"/>
    <w:rsid w:val="00797D65"/>
    <w:rsid w:val="008215E7"/>
    <w:rsid w:val="00826D75"/>
    <w:rsid w:val="008479B2"/>
    <w:rsid w:val="008747F6"/>
    <w:rsid w:val="00892219"/>
    <w:rsid w:val="0089762F"/>
    <w:rsid w:val="008C6CA9"/>
    <w:rsid w:val="008D5140"/>
    <w:rsid w:val="008F72DD"/>
    <w:rsid w:val="00904A1A"/>
    <w:rsid w:val="00920275"/>
    <w:rsid w:val="00975DB8"/>
    <w:rsid w:val="00983835"/>
    <w:rsid w:val="009979F4"/>
    <w:rsid w:val="009D1937"/>
    <w:rsid w:val="009D6CEF"/>
    <w:rsid w:val="00A15FB8"/>
    <w:rsid w:val="00A20113"/>
    <w:rsid w:val="00A67304"/>
    <w:rsid w:val="00A84CDF"/>
    <w:rsid w:val="00A90252"/>
    <w:rsid w:val="00AE62A3"/>
    <w:rsid w:val="00AF3670"/>
    <w:rsid w:val="00B027B4"/>
    <w:rsid w:val="00B054FE"/>
    <w:rsid w:val="00B40641"/>
    <w:rsid w:val="00B4211F"/>
    <w:rsid w:val="00B4295E"/>
    <w:rsid w:val="00B86025"/>
    <w:rsid w:val="00BD41C3"/>
    <w:rsid w:val="00C00DC4"/>
    <w:rsid w:val="00C34BB6"/>
    <w:rsid w:val="00C44BE3"/>
    <w:rsid w:val="00C50318"/>
    <w:rsid w:val="00C73DC6"/>
    <w:rsid w:val="00CE237D"/>
    <w:rsid w:val="00CF0052"/>
    <w:rsid w:val="00D01A78"/>
    <w:rsid w:val="00D023F9"/>
    <w:rsid w:val="00D146D0"/>
    <w:rsid w:val="00D446E3"/>
    <w:rsid w:val="00D52C25"/>
    <w:rsid w:val="00D7479B"/>
    <w:rsid w:val="00DA28DF"/>
    <w:rsid w:val="00DB4F38"/>
    <w:rsid w:val="00DD10D4"/>
    <w:rsid w:val="00E40F7A"/>
    <w:rsid w:val="00E421B0"/>
    <w:rsid w:val="00E516DB"/>
    <w:rsid w:val="00E77697"/>
    <w:rsid w:val="00E958B4"/>
    <w:rsid w:val="00EC19DA"/>
    <w:rsid w:val="00EE386D"/>
    <w:rsid w:val="00EF310B"/>
    <w:rsid w:val="00F00B88"/>
    <w:rsid w:val="00F13723"/>
    <w:rsid w:val="00F31049"/>
    <w:rsid w:val="00F5185E"/>
    <w:rsid w:val="00F82BA2"/>
    <w:rsid w:val="00F85CB3"/>
    <w:rsid w:val="00FE425C"/>
    <w:rsid w:val="00FE46B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52811"/>
  <w15:docId w15:val="{493B47A1-1809-45E2-AA08-712BD7DFA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1B04"/>
    <w:pPr>
      <w:keepNext/>
      <w:keepLines/>
      <w:numPr>
        <w:numId w:val="9"/>
      </w:numPr>
      <w:spacing w:before="240" w:after="0"/>
      <w:outlineLvl w:val="0"/>
    </w:pPr>
    <w:rPr>
      <w:rFonts w:ascii="Bangla MN" w:eastAsiaTheme="majorEastAsia" w:hAnsi="Bangla MN" w:cstheme="majorBidi"/>
      <w:b/>
      <w:bCs/>
      <w:color w:val="365F91" w:themeColor="accent1" w:themeShade="BF"/>
      <w:spacing w:val="-2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47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7C1E"/>
    <w:pPr>
      <w:ind w:left="720"/>
      <w:contextualSpacing/>
    </w:pPr>
  </w:style>
  <w:style w:type="paragraph" w:styleId="Header">
    <w:name w:val="header"/>
    <w:basedOn w:val="Normal"/>
    <w:link w:val="HeaderChar"/>
    <w:uiPriority w:val="99"/>
    <w:unhideWhenUsed/>
    <w:rsid w:val="00A84C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CDF"/>
  </w:style>
  <w:style w:type="paragraph" w:styleId="Footer">
    <w:name w:val="footer"/>
    <w:basedOn w:val="Normal"/>
    <w:link w:val="FooterChar"/>
    <w:uiPriority w:val="99"/>
    <w:unhideWhenUsed/>
    <w:rsid w:val="00A84C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CDF"/>
  </w:style>
  <w:style w:type="character" w:styleId="CommentReference">
    <w:name w:val="annotation reference"/>
    <w:basedOn w:val="DefaultParagraphFont"/>
    <w:uiPriority w:val="99"/>
    <w:semiHidden/>
    <w:unhideWhenUsed/>
    <w:rsid w:val="00A90252"/>
    <w:rPr>
      <w:sz w:val="16"/>
      <w:szCs w:val="16"/>
    </w:rPr>
  </w:style>
  <w:style w:type="paragraph" w:styleId="CommentText">
    <w:name w:val="annotation text"/>
    <w:basedOn w:val="Normal"/>
    <w:link w:val="CommentTextChar"/>
    <w:uiPriority w:val="99"/>
    <w:semiHidden/>
    <w:unhideWhenUsed/>
    <w:rsid w:val="00A90252"/>
    <w:pPr>
      <w:spacing w:line="240" w:lineRule="auto"/>
    </w:pPr>
    <w:rPr>
      <w:sz w:val="20"/>
      <w:szCs w:val="20"/>
    </w:rPr>
  </w:style>
  <w:style w:type="character" w:customStyle="1" w:styleId="CommentTextChar">
    <w:name w:val="Comment Text Char"/>
    <w:basedOn w:val="DefaultParagraphFont"/>
    <w:link w:val="CommentText"/>
    <w:uiPriority w:val="99"/>
    <w:semiHidden/>
    <w:rsid w:val="00A90252"/>
    <w:rPr>
      <w:sz w:val="20"/>
      <w:szCs w:val="20"/>
    </w:rPr>
  </w:style>
  <w:style w:type="paragraph" w:styleId="CommentSubject">
    <w:name w:val="annotation subject"/>
    <w:basedOn w:val="CommentText"/>
    <w:next w:val="CommentText"/>
    <w:link w:val="CommentSubjectChar"/>
    <w:uiPriority w:val="99"/>
    <w:semiHidden/>
    <w:unhideWhenUsed/>
    <w:rsid w:val="00A90252"/>
    <w:rPr>
      <w:b/>
      <w:bCs/>
    </w:rPr>
  </w:style>
  <w:style w:type="character" w:customStyle="1" w:styleId="CommentSubjectChar">
    <w:name w:val="Comment Subject Char"/>
    <w:basedOn w:val="CommentTextChar"/>
    <w:link w:val="CommentSubject"/>
    <w:uiPriority w:val="99"/>
    <w:semiHidden/>
    <w:rsid w:val="00A90252"/>
    <w:rPr>
      <w:b/>
      <w:bCs/>
      <w:sz w:val="20"/>
      <w:szCs w:val="20"/>
    </w:rPr>
  </w:style>
  <w:style w:type="paragraph" w:styleId="BalloonText">
    <w:name w:val="Balloon Text"/>
    <w:basedOn w:val="Normal"/>
    <w:link w:val="BalloonTextChar"/>
    <w:uiPriority w:val="99"/>
    <w:semiHidden/>
    <w:unhideWhenUsed/>
    <w:rsid w:val="00A90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252"/>
    <w:rPr>
      <w:rFonts w:ascii="Tahoma" w:hAnsi="Tahoma" w:cs="Tahoma"/>
      <w:sz w:val="16"/>
      <w:szCs w:val="16"/>
    </w:rPr>
  </w:style>
  <w:style w:type="character" w:customStyle="1" w:styleId="Heading1Char">
    <w:name w:val="Heading 1 Char"/>
    <w:basedOn w:val="DefaultParagraphFont"/>
    <w:link w:val="Heading1"/>
    <w:uiPriority w:val="9"/>
    <w:rsid w:val="00920275"/>
    <w:rPr>
      <w:rFonts w:ascii="Bangla MN" w:eastAsiaTheme="majorEastAsia" w:hAnsi="Bangla MN" w:cstheme="majorBidi"/>
      <w:b/>
      <w:bCs/>
      <w:color w:val="365F91" w:themeColor="accent1" w:themeShade="BF"/>
      <w:spacing w:val="-20"/>
      <w:sz w:val="24"/>
      <w:szCs w:val="26"/>
    </w:rPr>
  </w:style>
  <w:style w:type="paragraph" w:styleId="Title">
    <w:name w:val="Title"/>
    <w:basedOn w:val="Normal"/>
    <w:next w:val="Normal"/>
    <w:link w:val="TitleChar"/>
    <w:uiPriority w:val="10"/>
    <w:qFormat/>
    <w:rsid w:val="00C34B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4BB6"/>
    <w:rPr>
      <w:rFonts w:asciiTheme="majorHAnsi" w:eastAsiaTheme="majorEastAsia" w:hAnsiTheme="majorHAnsi" w:cstheme="majorBidi"/>
      <w:spacing w:val="-10"/>
      <w:kern w:val="28"/>
      <w:sz w:val="56"/>
      <w:szCs w:val="56"/>
    </w:rPr>
  </w:style>
  <w:style w:type="table" w:customStyle="1" w:styleId="GridTable5Dark-Accent51">
    <w:name w:val="Grid Table 5 Dark - Accent 51"/>
    <w:basedOn w:val="TableNormal"/>
    <w:uiPriority w:val="50"/>
    <w:rsid w:val="0092027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FootnoteText">
    <w:name w:val="footnote text"/>
    <w:basedOn w:val="Normal"/>
    <w:link w:val="FootnoteTextChar"/>
    <w:uiPriority w:val="99"/>
    <w:unhideWhenUsed/>
    <w:rsid w:val="00C44BE3"/>
    <w:pPr>
      <w:spacing w:after="0" w:line="240" w:lineRule="auto"/>
    </w:pPr>
    <w:rPr>
      <w:sz w:val="24"/>
      <w:szCs w:val="24"/>
    </w:rPr>
  </w:style>
  <w:style w:type="character" w:customStyle="1" w:styleId="FootnoteTextChar">
    <w:name w:val="Footnote Text Char"/>
    <w:basedOn w:val="DefaultParagraphFont"/>
    <w:link w:val="FootnoteText"/>
    <w:uiPriority w:val="99"/>
    <w:rsid w:val="00C44BE3"/>
    <w:rPr>
      <w:sz w:val="24"/>
      <w:szCs w:val="24"/>
    </w:rPr>
  </w:style>
  <w:style w:type="character" w:styleId="FootnoteReference">
    <w:name w:val="footnote reference"/>
    <w:basedOn w:val="DefaultParagraphFont"/>
    <w:uiPriority w:val="99"/>
    <w:unhideWhenUsed/>
    <w:rsid w:val="00C44BE3"/>
    <w:rPr>
      <w:vertAlign w:val="superscript"/>
    </w:rPr>
  </w:style>
  <w:style w:type="paragraph" w:styleId="NoSpacing">
    <w:name w:val="No Spacing"/>
    <w:link w:val="NoSpacingChar"/>
    <w:uiPriority w:val="1"/>
    <w:qFormat/>
    <w:rsid w:val="00D01A78"/>
    <w:pPr>
      <w:spacing w:after="0" w:line="240" w:lineRule="auto"/>
    </w:pPr>
  </w:style>
  <w:style w:type="character" w:customStyle="1" w:styleId="NoSpacingChar">
    <w:name w:val="No Spacing Char"/>
    <w:basedOn w:val="DefaultParagraphFont"/>
    <w:link w:val="NoSpacing"/>
    <w:uiPriority w:val="1"/>
    <w:rsid w:val="002A3623"/>
  </w:style>
  <w:style w:type="character" w:styleId="IntenseReference">
    <w:name w:val="Intense Reference"/>
    <w:basedOn w:val="DefaultParagraphFont"/>
    <w:uiPriority w:val="32"/>
    <w:qFormat/>
    <w:rsid w:val="00983835"/>
    <w:rPr>
      <w:b/>
      <w:bCs/>
      <w:smallCaps/>
      <w:color w:val="4F81BD" w:themeColor="accent1"/>
      <w:spacing w:val="5"/>
    </w:rPr>
  </w:style>
  <w:style w:type="character" w:styleId="IntenseEmphasis">
    <w:name w:val="Intense Emphasis"/>
    <w:basedOn w:val="DefaultParagraphFont"/>
    <w:uiPriority w:val="21"/>
    <w:qFormat/>
    <w:rsid w:val="006472A5"/>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24459">
      <w:bodyDiv w:val="1"/>
      <w:marLeft w:val="0"/>
      <w:marRight w:val="0"/>
      <w:marTop w:val="0"/>
      <w:marBottom w:val="0"/>
      <w:divBdr>
        <w:top w:val="none" w:sz="0" w:space="0" w:color="auto"/>
        <w:left w:val="none" w:sz="0" w:space="0" w:color="auto"/>
        <w:bottom w:val="none" w:sz="0" w:space="0" w:color="auto"/>
        <w:right w:val="none" w:sz="0" w:space="0" w:color="auto"/>
      </w:divBdr>
      <w:divsChild>
        <w:div w:id="938755151">
          <w:marLeft w:val="274"/>
          <w:marRight w:val="0"/>
          <w:marTop w:val="0"/>
          <w:marBottom w:val="0"/>
          <w:divBdr>
            <w:top w:val="none" w:sz="0" w:space="0" w:color="auto"/>
            <w:left w:val="none" w:sz="0" w:space="0" w:color="auto"/>
            <w:bottom w:val="none" w:sz="0" w:space="0" w:color="auto"/>
            <w:right w:val="none" w:sz="0" w:space="0" w:color="auto"/>
          </w:divBdr>
        </w:div>
        <w:div w:id="1299259631">
          <w:marLeft w:val="274"/>
          <w:marRight w:val="0"/>
          <w:marTop w:val="0"/>
          <w:marBottom w:val="0"/>
          <w:divBdr>
            <w:top w:val="none" w:sz="0" w:space="0" w:color="auto"/>
            <w:left w:val="none" w:sz="0" w:space="0" w:color="auto"/>
            <w:bottom w:val="none" w:sz="0" w:space="0" w:color="auto"/>
            <w:right w:val="none" w:sz="0" w:space="0" w:color="auto"/>
          </w:divBdr>
        </w:div>
      </w:divsChild>
    </w:div>
    <w:div w:id="182478387">
      <w:bodyDiv w:val="1"/>
      <w:marLeft w:val="0"/>
      <w:marRight w:val="0"/>
      <w:marTop w:val="0"/>
      <w:marBottom w:val="0"/>
      <w:divBdr>
        <w:top w:val="none" w:sz="0" w:space="0" w:color="auto"/>
        <w:left w:val="none" w:sz="0" w:space="0" w:color="auto"/>
        <w:bottom w:val="none" w:sz="0" w:space="0" w:color="auto"/>
        <w:right w:val="none" w:sz="0" w:space="0" w:color="auto"/>
      </w:divBdr>
      <w:divsChild>
        <w:div w:id="1757096275">
          <w:marLeft w:val="547"/>
          <w:marRight w:val="0"/>
          <w:marTop w:val="0"/>
          <w:marBottom w:val="0"/>
          <w:divBdr>
            <w:top w:val="none" w:sz="0" w:space="0" w:color="auto"/>
            <w:left w:val="none" w:sz="0" w:space="0" w:color="auto"/>
            <w:bottom w:val="none" w:sz="0" w:space="0" w:color="auto"/>
            <w:right w:val="none" w:sz="0" w:space="0" w:color="auto"/>
          </w:divBdr>
        </w:div>
        <w:div w:id="887690293">
          <w:marLeft w:val="547"/>
          <w:marRight w:val="0"/>
          <w:marTop w:val="0"/>
          <w:marBottom w:val="0"/>
          <w:divBdr>
            <w:top w:val="none" w:sz="0" w:space="0" w:color="auto"/>
            <w:left w:val="none" w:sz="0" w:space="0" w:color="auto"/>
            <w:bottom w:val="none" w:sz="0" w:space="0" w:color="auto"/>
            <w:right w:val="none" w:sz="0" w:space="0" w:color="auto"/>
          </w:divBdr>
        </w:div>
        <w:div w:id="368532268">
          <w:marLeft w:val="547"/>
          <w:marRight w:val="0"/>
          <w:marTop w:val="0"/>
          <w:marBottom w:val="0"/>
          <w:divBdr>
            <w:top w:val="none" w:sz="0" w:space="0" w:color="auto"/>
            <w:left w:val="none" w:sz="0" w:space="0" w:color="auto"/>
            <w:bottom w:val="none" w:sz="0" w:space="0" w:color="auto"/>
            <w:right w:val="none" w:sz="0" w:space="0" w:color="auto"/>
          </w:divBdr>
        </w:div>
        <w:div w:id="125513028">
          <w:marLeft w:val="547"/>
          <w:marRight w:val="0"/>
          <w:marTop w:val="0"/>
          <w:marBottom w:val="0"/>
          <w:divBdr>
            <w:top w:val="none" w:sz="0" w:space="0" w:color="auto"/>
            <w:left w:val="none" w:sz="0" w:space="0" w:color="auto"/>
            <w:bottom w:val="none" w:sz="0" w:space="0" w:color="auto"/>
            <w:right w:val="none" w:sz="0" w:space="0" w:color="auto"/>
          </w:divBdr>
        </w:div>
        <w:div w:id="962268845">
          <w:marLeft w:val="547"/>
          <w:marRight w:val="0"/>
          <w:marTop w:val="0"/>
          <w:marBottom w:val="0"/>
          <w:divBdr>
            <w:top w:val="none" w:sz="0" w:space="0" w:color="auto"/>
            <w:left w:val="none" w:sz="0" w:space="0" w:color="auto"/>
            <w:bottom w:val="none" w:sz="0" w:space="0" w:color="auto"/>
            <w:right w:val="none" w:sz="0" w:space="0" w:color="auto"/>
          </w:divBdr>
        </w:div>
      </w:divsChild>
    </w:div>
    <w:div w:id="677469257">
      <w:bodyDiv w:val="1"/>
      <w:marLeft w:val="0"/>
      <w:marRight w:val="0"/>
      <w:marTop w:val="0"/>
      <w:marBottom w:val="0"/>
      <w:divBdr>
        <w:top w:val="none" w:sz="0" w:space="0" w:color="auto"/>
        <w:left w:val="none" w:sz="0" w:space="0" w:color="auto"/>
        <w:bottom w:val="none" w:sz="0" w:space="0" w:color="auto"/>
        <w:right w:val="none" w:sz="0" w:space="0" w:color="auto"/>
      </w:divBdr>
      <w:divsChild>
        <w:div w:id="239683440">
          <w:marLeft w:val="274"/>
          <w:marRight w:val="0"/>
          <w:marTop w:val="0"/>
          <w:marBottom w:val="0"/>
          <w:divBdr>
            <w:top w:val="none" w:sz="0" w:space="0" w:color="auto"/>
            <w:left w:val="none" w:sz="0" w:space="0" w:color="auto"/>
            <w:bottom w:val="none" w:sz="0" w:space="0" w:color="auto"/>
            <w:right w:val="none" w:sz="0" w:space="0" w:color="auto"/>
          </w:divBdr>
        </w:div>
        <w:div w:id="1627543120">
          <w:marLeft w:val="274"/>
          <w:marRight w:val="0"/>
          <w:marTop w:val="0"/>
          <w:marBottom w:val="0"/>
          <w:divBdr>
            <w:top w:val="none" w:sz="0" w:space="0" w:color="auto"/>
            <w:left w:val="none" w:sz="0" w:space="0" w:color="auto"/>
            <w:bottom w:val="none" w:sz="0" w:space="0" w:color="auto"/>
            <w:right w:val="none" w:sz="0" w:space="0" w:color="auto"/>
          </w:divBdr>
        </w:div>
        <w:div w:id="1787113270">
          <w:marLeft w:val="274"/>
          <w:marRight w:val="0"/>
          <w:marTop w:val="0"/>
          <w:marBottom w:val="0"/>
          <w:divBdr>
            <w:top w:val="none" w:sz="0" w:space="0" w:color="auto"/>
            <w:left w:val="none" w:sz="0" w:space="0" w:color="auto"/>
            <w:bottom w:val="none" w:sz="0" w:space="0" w:color="auto"/>
            <w:right w:val="none" w:sz="0" w:space="0" w:color="auto"/>
          </w:divBdr>
        </w:div>
        <w:div w:id="382950878">
          <w:marLeft w:val="274"/>
          <w:marRight w:val="0"/>
          <w:marTop w:val="0"/>
          <w:marBottom w:val="0"/>
          <w:divBdr>
            <w:top w:val="none" w:sz="0" w:space="0" w:color="auto"/>
            <w:left w:val="none" w:sz="0" w:space="0" w:color="auto"/>
            <w:bottom w:val="none" w:sz="0" w:space="0" w:color="auto"/>
            <w:right w:val="none" w:sz="0" w:space="0" w:color="auto"/>
          </w:divBdr>
        </w:div>
        <w:div w:id="908156041">
          <w:marLeft w:val="274"/>
          <w:marRight w:val="0"/>
          <w:marTop w:val="0"/>
          <w:marBottom w:val="0"/>
          <w:divBdr>
            <w:top w:val="none" w:sz="0" w:space="0" w:color="auto"/>
            <w:left w:val="none" w:sz="0" w:space="0" w:color="auto"/>
            <w:bottom w:val="none" w:sz="0" w:space="0" w:color="auto"/>
            <w:right w:val="none" w:sz="0" w:space="0" w:color="auto"/>
          </w:divBdr>
        </w:div>
      </w:divsChild>
    </w:div>
    <w:div w:id="855117090">
      <w:bodyDiv w:val="1"/>
      <w:marLeft w:val="0"/>
      <w:marRight w:val="0"/>
      <w:marTop w:val="0"/>
      <w:marBottom w:val="0"/>
      <w:divBdr>
        <w:top w:val="none" w:sz="0" w:space="0" w:color="auto"/>
        <w:left w:val="none" w:sz="0" w:space="0" w:color="auto"/>
        <w:bottom w:val="none" w:sz="0" w:space="0" w:color="auto"/>
        <w:right w:val="none" w:sz="0" w:space="0" w:color="auto"/>
      </w:divBdr>
    </w:div>
    <w:div w:id="906572590">
      <w:bodyDiv w:val="1"/>
      <w:marLeft w:val="0"/>
      <w:marRight w:val="0"/>
      <w:marTop w:val="0"/>
      <w:marBottom w:val="0"/>
      <w:divBdr>
        <w:top w:val="none" w:sz="0" w:space="0" w:color="auto"/>
        <w:left w:val="none" w:sz="0" w:space="0" w:color="auto"/>
        <w:bottom w:val="none" w:sz="0" w:space="0" w:color="auto"/>
        <w:right w:val="none" w:sz="0" w:space="0" w:color="auto"/>
      </w:divBdr>
      <w:divsChild>
        <w:div w:id="1601139989">
          <w:marLeft w:val="446"/>
          <w:marRight w:val="0"/>
          <w:marTop w:val="0"/>
          <w:marBottom w:val="0"/>
          <w:divBdr>
            <w:top w:val="none" w:sz="0" w:space="0" w:color="auto"/>
            <w:left w:val="none" w:sz="0" w:space="0" w:color="auto"/>
            <w:bottom w:val="none" w:sz="0" w:space="0" w:color="auto"/>
            <w:right w:val="none" w:sz="0" w:space="0" w:color="auto"/>
          </w:divBdr>
        </w:div>
        <w:div w:id="1025331362">
          <w:marLeft w:val="446"/>
          <w:marRight w:val="0"/>
          <w:marTop w:val="0"/>
          <w:marBottom w:val="0"/>
          <w:divBdr>
            <w:top w:val="none" w:sz="0" w:space="0" w:color="auto"/>
            <w:left w:val="none" w:sz="0" w:space="0" w:color="auto"/>
            <w:bottom w:val="none" w:sz="0" w:space="0" w:color="auto"/>
            <w:right w:val="none" w:sz="0" w:space="0" w:color="auto"/>
          </w:divBdr>
        </w:div>
        <w:div w:id="268397704">
          <w:marLeft w:val="446"/>
          <w:marRight w:val="0"/>
          <w:marTop w:val="0"/>
          <w:marBottom w:val="0"/>
          <w:divBdr>
            <w:top w:val="none" w:sz="0" w:space="0" w:color="auto"/>
            <w:left w:val="none" w:sz="0" w:space="0" w:color="auto"/>
            <w:bottom w:val="none" w:sz="0" w:space="0" w:color="auto"/>
            <w:right w:val="none" w:sz="0" w:space="0" w:color="auto"/>
          </w:divBdr>
        </w:div>
        <w:div w:id="566771828">
          <w:marLeft w:val="446"/>
          <w:marRight w:val="0"/>
          <w:marTop w:val="0"/>
          <w:marBottom w:val="0"/>
          <w:divBdr>
            <w:top w:val="none" w:sz="0" w:space="0" w:color="auto"/>
            <w:left w:val="none" w:sz="0" w:space="0" w:color="auto"/>
            <w:bottom w:val="none" w:sz="0" w:space="0" w:color="auto"/>
            <w:right w:val="none" w:sz="0" w:space="0" w:color="auto"/>
          </w:divBdr>
        </w:div>
        <w:div w:id="1972858508">
          <w:marLeft w:val="446"/>
          <w:marRight w:val="0"/>
          <w:marTop w:val="0"/>
          <w:marBottom w:val="0"/>
          <w:divBdr>
            <w:top w:val="none" w:sz="0" w:space="0" w:color="auto"/>
            <w:left w:val="none" w:sz="0" w:space="0" w:color="auto"/>
            <w:bottom w:val="none" w:sz="0" w:space="0" w:color="auto"/>
            <w:right w:val="none" w:sz="0" w:space="0" w:color="auto"/>
          </w:divBdr>
        </w:div>
        <w:div w:id="1480490696">
          <w:marLeft w:val="446"/>
          <w:marRight w:val="0"/>
          <w:marTop w:val="0"/>
          <w:marBottom w:val="0"/>
          <w:divBdr>
            <w:top w:val="none" w:sz="0" w:space="0" w:color="auto"/>
            <w:left w:val="none" w:sz="0" w:space="0" w:color="auto"/>
            <w:bottom w:val="none" w:sz="0" w:space="0" w:color="auto"/>
            <w:right w:val="none" w:sz="0" w:space="0" w:color="auto"/>
          </w:divBdr>
        </w:div>
        <w:div w:id="903107998">
          <w:marLeft w:val="446"/>
          <w:marRight w:val="0"/>
          <w:marTop w:val="0"/>
          <w:marBottom w:val="0"/>
          <w:divBdr>
            <w:top w:val="none" w:sz="0" w:space="0" w:color="auto"/>
            <w:left w:val="none" w:sz="0" w:space="0" w:color="auto"/>
            <w:bottom w:val="none" w:sz="0" w:space="0" w:color="auto"/>
            <w:right w:val="none" w:sz="0" w:space="0" w:color="auto"/>
          </w:divBdr>
        </w:div>
      </w:divsChild>
    </w:div>
    <w:div w:id="1094285771">
      <w:bodyDiv w:val="1"/>
      <w:marLeft w:val="0"/>
      <w:marRight w:val="0"/>
      <w:marTop w:val="0"/>
      <w:marBottom w:val="0"/>
      <w:divBdr>
        <w:top w:val="none" w:sz="0" w:space="0" w:color="auto"/>
        <w:left w:val="none" w:sz="0" w:space="0" w:color="auto"/>
        <w:bottom w:val="none" w:sz="0" w:space="0" w:color="auto"/>
        <w:right w:val="none" w:sz="0" w:space="0" w:color="auto"/>
      </w:divBdr>
    </w:div>
    <w:div w:id="1401950580">
      <w:bodyDiv w:val="1"/>
      <w:marLeft w:val="0"/>
      <w:marRight w:val="0"/>
      <w:marTop w:val="0"/>
      <w:marBottom w:val="0"/>
      <w:divBdr>
        <w:top w:val="none" w:sz="0" w:space="0" w:color="auto"/>
        <w:left w:val="none" w:sz="0" w:space="0" w:color="auto"/>
        <w:bottom w:val="none" w:sz="0" w:space="0" w:color="auto"/>
        <w:right w:val="none" w:sz="0" w:space="0" w:color="auto"/>
      </w:divBdr>
    </w:div>
    <w:div w:id="1613172989">
      <w:bodyDiv w:val="1"/>
      <w:marLeft w:val="0"/>
      <w:marRight w:val="0"/>
      <w:marTop w:val="0"/>
      <w:marBottom w:val="0"/>
      <w:divBdr>
        <w:top w:val="none" w:sz="0" w:space="0" w:color="auto"/>
        <w:left w:val="none" w:sz="0" w:space="0" w:color="auto"/>
        <w:bottom w:val="none" w:sz="0" w:space="0" w:color="auto"/>
        <w:right w:val="none" w:sz="0" w:space="0" w:color="auto"/>
      </w:divBdr>
      <w:divsChild>
        <w:div w:id="1177575038">
          <w:marLeft w:val="446"/>
          <w:marRight w:val="0"/>
          <w:marTop w:val="0"/>
          <w:marBottom w:val="0"/>
          <w:divBdr>
            <w:top w:val="none" w:sz="0" w:space="0" w:color="auto"/>
            <w:left w:val="none" w:sz="0" w:space="0" w:color="auto"/>
            <w:bottom w:val="none" w:sz="0" w:space="0" w:color="auto"/>
            <w:right w:val="none" w:sz="0" w:space="0" w:color="auto"/>
          </w:divBdr>
        </w:div>
        <w:div w:id="1732388977">
          <w:marLeft w:val="446"/>
          <w:marRight w:val="0"/>
          <w:marTop w:val="0"/>
          <w:marBottom w:val="0"/>
          <w:divBdr>
            <w:top w:val="none" w:sz="0" w:space="0" w:color="auto"/>
            <w:left w:val="none" w:sz="0" w:space="0" w:color="auto"/>
            <w:bottom w:val="none" w:sz="0" w:space="0" w:color="auto"/>
            <w:right w:val="none" w:sz="0" w:space="0" w:color="auto"/>
          </w:divBdr>
        </w:div>
        <w:div w:id="1199048743">
          <w:marLeft w:val="446"/>
          <w:marRight w:val="0"/>
          <w:marTop w:val="0"/>
          <w:marBottom w:val="0"/>
          <w:divBdr>
            <w:top w:val="none" w:sz="0" w:space="0" w:color="auto"/>
            <w:left w:val="none" w:sz="0" w:space="0" w:color="auto"/>
            <w:bottom w:val="none" w:sz="0" w:space="0" w:color="auto"/>
            <w:right w:val="none" w:sz="0" w:space="0" w:color="auto"/>
          </w:divBdr>
        </w:div>
        <w:div w:id="1904293140">
          <w:marLeft w:val="446"/>
          <w:marRight w:val="0"/>
          <w:marTop w:val="0"/>
          <w:marBottom w:val="0"/>
          <w:divBdr>
            <w:top w:val="none" w:sz="0" w:space="0" w:color="auto"/>
            <w:left w:val="none" w:sz="0" w:space="0" w:color="auto"/>
            <w:bottom w:val="none" w:sz="0" w:space="0" w:color="auto"/>
            <w:right w:val="none" w:sz="0" w:space="0" w:color="auto"/>
          </w:divBdr>
        </w:div>
        <w:div w:id="846141747">
          <w:marLeft w:val="446"/>
          <w:marRight w:val="0"/>
          <w:marTop w:val="0"/>
          <w:marBottom w:val="0"/>
          <w:divBdr>
            <w:top w:val="none" w:sz="0" w:space="0" w:color="auto"/>
            <w:left w:val="none" w:sz="0" w:space="0" w:color="auto"/>
            <w:bottom w:val="none" w:sz="0" w:space="0" w:color="auto"/>
            <w:right w:val="none" w:sz="0" w:space="0" w:color="auto"/>
          </w:divBdr>
        </w:div>
        <w:div w:id="977802911">
          <w:marLeft w:val="446"/>
          <w:marRight w:val="0"/>
          <w:marTop w:val="0"/>
          <w:marBottom w:val="0"/>
          <w:divBdr>
            <w:top w:val="none" w:sz="0" w:space="0" w:color="auto"/>
            <w:left w:val="none" w:sz="0" w:space="0" w:color="auto"/>
            <w:bottom w:val="none" w:sz="0" w:space="0" w:color="auto"/>
            <w:right w:val="none" w:sz="0" w:space="0" w:color="auto"/>
          </w:divBdr>
        </w:div>
        <w:div w:id="1817451291">
          <w:marLeft w:val="446"/>
          <w:marRight w:val="0"/>
          <w:marTop w:val="0"/>
          <w:marBottom w:val="0"/>
          <w:divBdr>
            <w:top w:val="none" w:sz="0" w:space="0" w:color="auto"/>
            <w:left w:val="none" w:sz="0" w:space="0" w:color="auto"/>
            <w:bottom w:val="none" w:sz="0" w:space="0" w:color="auto"/>
            <w:right w:val="none" w:sz="0" w:space="0" w:color="auto"/>
          </w:divBdr>
        </w:div>
        <w:div w:id="1596287072">
          <w:marLeft w:val="446"/>
          <w:marRight w:val="0"/>
          <w:marTop w:val="0"/>
          <w:marBottom w:val="0"/>
          <w:divBdr>
            <w:top w:val="none" w:sz="0" w:space="0" w:color="auto"/>
            <w:left w:val="none" w:sz="0" w:space="0" w:color="auto"/>
            <w:bottom w:val="none" w:sz="0" w:space="0" w:color="auto"/>
            <w:right w:val="none" w:sz="0" w:space="0" w:color="auto"/>
          </w:divBdr>
        </w:div>
      </w:divsChild>
    </w:div>
    <w:div w:id="1715890699">
      <w:bodyDiv w:val="1"/>
      <w:marLeft w:val="0"/>
      <w:marRight w:val="0"/>
      <w:marTop w:val="0"/>
      <w:marBottom w:val="0"/>
      <w:divBdr>
        <w:top w:val="none" w:sz="0" w:space="0" w:color="auto"/>
        <w:left w:val="none" w:sz="0" w:space="0" w:color="auto"/>
        <w:bottom w:val="none" w:sz="0" w:space="0" w:color="auto"/>
        <w:right w:val="none" w:sz="0" w:space="0" w:color="auto"/>
      </w:divBdr>
      <w:divsChild>
        <w:div w:id="1985772929">
          <w:marLeft w:val="274"/>
          <w:marRight w:val="0"/>
          <w:marTop w:val="0"/>
          <w:marBottom w:val="0"/>
          <w:divBdr>
            <w:top w:val="none" w:sz="0" w:space="0" w:color="auto"/>
            <w:left w:val="none" w:sz="0" w:space="0" w:color="auto"/>
            <w:bottom w:val="none" w:sz="0" w:space="0" w:color="auto"/>
            <w:right w:val="none" w:sz="0" w:space="0" w:color="auto"/>
          </w:divBdr>
        </w:div>
        <w:div w:id="1623540289">
          <w:marLeft w:val="274"/>
          <w:marRight w:val="0"/>
          <w:marTop w:val="0"/>
          <w:marBottom w:val="0"/>
          <w:divBdr>
            <w:top w:val="none" w:sz="0" w:space="0" w:color="auto"/>
            <w:left w:val="none" w:sz="0" w:space="0" w:color="auto"/>
            <w:bottom w:val="none" w:sz="0" w:space="0" w:color="auto"/>
            <w:right w:val="none" w:sz="0" w:space="0" w:color="auto"/>
          </w:divBdr>
        </w:div>
        <w:div w:id="1860006203">
          <w:marLeft w:val="274"/>
          <w:marRight w:val="0"/>
          <w:marTop w:val="0"/>
          <w:marBottom w:val="0"/>
          <w:divBdr>
            <w:top w:val="none" w:sz="0" w:space="0" w:color="auto"/>
            <w:left w:val="none" w:sz="0" w:space="0" w:color="auto"/>
            <w:bottom w:val="none" w:sz="0" w:space="0" w:color="auto"/>
            <w:right w:val="none" w:sz="0" w:space="0" w:color="auto"/>
          </w:divBdr>
        </w:div>
        <w:div w:id="1858079187">
          <w:marLeft w:val="274"/>
          <w:marRight w:val="0"/>
          <w:marTop w:val="0"/>
          <w:marBottom w:val="0"/>
          <w:divBdr>
            <w:top w:val="none" w:sz="0" w:space="0" w:color="auto"/>
            <w:left w:val="none" w:sz="0" w:space="0" w:color="auto"/>
            <w:bottom w:val="none" w:sz="0" w:space="0" w:color="auto"/>
            <w:right w:val="none" w:sz="0" w:space="0" w:color="auto"/>
          </w:divBdr>
        </w:div>
      </w:divsChild>
    </w:div>
    <w:div w:id="1932857028">
      <w:bodyDiv w:val="1"/>
      <w:marLeft w:val="0"/>
      <w:marRight w:val="0"/>
      <w:marTop w:val="0"/>
      <w:marBottom w:val="0"/>
      <w:divBdr>
        <w:top w:val="none" w:sz="0" w:space="0" w:color="auto"/>
        <w:left w:val="none" w:sz="0" w:space="0" w:color="auto"/>
        <w:bottom w:val="none" w:sz="0" w:space="0" w:color="auto"/>
        <w:right w:val="none" w:sz="0" w:space="0" w:color="auto"/>
      </w:divBdr>
    </w:div>
    <w:div w:id="2070494119">
      <w:bodyDiv w:val="1"/>
      <w:marLeft w:val="0"/>
      <w:marRight w:val="0"/>
      <w:marTop w:val="0"/>
      <w:marBottom w:val="0"/>
      <w:divBdr>
        <w:top w:val="none" w:sz="0" w:space="0" w:color="auto"/>
        <w:left w:val="none" w:sz="0" w:space="0" w:color="auto"/>
        <w:bottom w:val="none" w:sz="0" w:space="0" w:color="auto"/>
        <w:right w:val="none" w:sz="0" w:space="0" w:color="auto"/>
      </w:divBdr>
    </w:div>
    <w:div w:id="2094888537">
      <w:bodyDiv w:val="1"/>
      <w:marLeft w:val="0"/>
      <w:marRight w:val="0"/>
      <w:marTop w:val="0"/>
      <w:marBottom w:val="0"/>
      <w:divBdr>
        <w:top w:val="none" w:sz="0" w:space="0" w:color="auto"/>
        <w:left w:val="none" w:sz="0" w:space="0" w:color="auto"/>
        <w:bottom w:val="none" w:sz="0" w:space="0" w:color="auto"/>
        <w:right w:val="none" w:sz="0" w:space="0" w:color="auto"/>
      </w:divBdr>
      <w:divsChild>
        <w:div w:id="1269386661">
          <w:marLeft w:val="547"/>
          <w:marRight w:val="0"/>
          <w:marTop w:val="106"/>
          <w:marBottom w:val="0"/>
          <w:divBdr>
            <w:top w:val="none" w:sz="0" w:space="0" w:color="auto"/>
            <w:left w:val="none" w:sz="0" w:space="0" w:color="auto"/>
            <w:bottom w:val="none" w:sz="0" w:space="0" w:color="auto"/>
            <w:right w:val="none" w:sz="0" w:space="0" w:color="auto"/>
          </w:divBdr>
        </w:div>
        <w:div w:id="643044579">
          <w:marLeft w:val="547"/>
          <w:marRight w:val="0"/>
          <w:marTop w:val="106"/>
          <w:marBottom w:val="0"/>
          <w:divBdr>
            <w:top w:val="none" w:sz="0" w:space="0" w:color="auto"/>
            <w:left w:val="none" w:sz="0" w:space="0" w:color="auto"/>
            <w:bottom w:val="none" w:sz="0" w:space="0" w:color="auto"/>
            <w:right w:val="none" w:sz="0" w:space="0" w:color="auto"/>
          </w:divBdr>
        </w:div>
        <w:div w:id="181474144">
          <w:marLeft w:val="547"/>
          <w:marRight w:val="0"/>
          <w:marTop w:val="106"/>
          <w:marBottom w:val="0"/>
          <w:divBdr>
            <w:top w:val="none" w:sz="0" w:space="0" w:color="auto"/>
            <w:left w:val="none" w:sz="0" w:space="0" w:color="auto"/>
            <w:bottom w:val="none" w:sz="0" w:space="0" w:color="auto"/>
            <w:right w:val="none" w:sz="0" w:space="0" w:color="auto"/>
          </w:divBdr>
        </w:div>
        <w:div w:id="1179542080">
          <w:marLeft w:val="547"/>
          <w:marRight w:val="0"/>
          <w:marTop w:val="106"/>
          <w:marBottom w:val="0"/>
          <w:divBdr>
            <w:top w:val="none" w:sz="0" w:space="0" w:color="auto"/>
            <w:left w:val="none" w:sz="0" w:space="0" w:color="auto"/>
            <w:bottom w:val="none" w:sz="0" w:space="0" w:color="auto"/>
            <w:right w:val="none" w:sz="0" w:space="0" w:color="auto"/>
          </w:divBdr>
        </w:div>
        <w:div w:id="848326355">
          <w:marLeft w:val="547"/>
          <w:marRight w:val="0"/>
          <w:marTop w:val="106"/>
          <w:marBottom w:val="0"/>
          <w:divBdr>
            <w:top w:val="none" w:sz="0" w:space="0" w:color="auto"/>
            <w:left w:val="none" w:sz="0" w:space="0" w:color="auto"/>
            <w:bottom w:val="none" w:sz="0" w:space="0" w:color="auto"/>
            <w:right w:val="none" w:sz="0" w:space="0" w:color="auto"/>
          </w:divBdr>
        </w:div>
        <w:div w:id="1372002158">
          <w:marLeft w:val="547"/>
          <w:marRight w:val="0"/>
          <w:marTop w:val="106"/>
          <w:marBottom w:val="0"/>
          <w:divBdr>
            <w:top w:val="none" w:sz="0" w:space="0" w:color="auto"/>
            <w:left w:val="none" w:sz="0" w:space="0" w:color="auto"/>
            <w:bottom w:val="none" w:sz="0" w:space="0" w:color="auto"/>
            <w:right w:val="none" w:sz="0" w:space="0" w:color="auto"/>
          </w:divBdr>
        </w:div>
        <w:div w:id="1073698508">
          <w:marLeft w:val="547"/>
          <w:marRight w:val="0"/>
          <w:marTop w:val="106"/>
          <w:marBottom w:val="0"/>
          <w:divBdr>
            <w:top w:val="none" w:sz="0" w:space="0" w:color="auto"/>
            <w:left w:val="none" w:sz="0" w:space="0" w:color="auto"/>
            <w:bottom w:val="none" w:sz="0" w:space="0" w:color="auto"/>
            <w:right w:val="none" w:sz="0" w:space="0" w:color="auto"/>
          </w:divBdr>
        </w:div>
        <w:div w:id="278996734">
          <w:marLeft w:val="547"/>
          <w:marRight w:val="0"/>
          <w:marTop w:val="106"/>
          <w:marBottom w:val="0"/>
          <w:divBdr>
            <w:top w:val="none" w:sz="0" w:space="0" w:color="auto"/>
            <w:left w:val="none" w:sz="0" w:space="0" w:color="auto"/>
            <w:bottom w:val="none" w:sz="0" w:space="0" w:color="auto"/>
            <w:right w:val="none" w:sz="0" w:space="0" w:color="auto"/>
          </w:divBdr>
        </w:div>
        <w:div w:id="459150214">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1783E-210C-DD4D-90AC-40555F1D8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3008</Words>
  <Characters>17148</Characters>
  <Application>Microsoft Macintosh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SADC TFCAs                    Training &amp; Capacity Building                   Community of Practice</vt:lpstr>
    </vt:vector>
  </TitlesOfParts>
  <Company>GIZ GmbH</Company>
  <LinksUpToDate>false</LinksUpToDate>
  <CharactersWithSpaces>20116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SADC TFCAs                    Training &amp; Capacity Building                   Community of Practice</dc:title>
  <dc:subject>CoP meeting held at SANParks headquarters (Pretoria) on 7th November 2017.</dc:subject>
  <dc:creator>Mareile Nganunu-Kroening</dc:creator>
  <cp:lastModifiedBy>Clara Bocchino</cp:lastModifiedBy>
  <cp:revision>2</cp:revision>
  <dcterms:created xsi:type="dcterms:W3CDTF">2018-01-15T09:53:00Z</dcterms:created>
  <dcterms:modified xsi:type="dcterms:W3CDTF">2018-01-15T09:53:00Z</dcterms:modified>
</cp:coreProperties>
</file>