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09928" w14:textId="77777777" w:rsidR="00901602" w:rsidRPr="006311F5" w:rsidRDefault="00901602" w:rsidP="001C2DD8">
      <w:pPr>
        <w:spacing w:before="0" w:after="0" w:line="240" w:lineRule="auto"/>
        <w:rPr>
          <w:rFonts w:ascii="Garamond" w:hAnsi="Garamond"/>
          <w:sz w:val="52"/>
          <w:szCs w:val="52"/>
        </w:rPr>
      </w:pPr>
      <w:bookmarkStart w:id="0" w:name="_GoBack"/>
      <w:bookmarkEnd w:id="0"/>
    </w:p>
    <w:p w14:paraId="2DB074CA" w14:textId="77777777" w:rsidR="009F2287" w:rsidRPr="006311F5" w:rsidRDefault="009F2287" w:rsidP="00C5086D">
      <w:pPr>
        <w:shd w:val="clear" w:color="auto" w:fill="4F6228"/>
        <w:spacing w:before="0" w:after="0" w:line="240" w:lineRule="auto"/>
        <w:jc w:val="center"/>
        <w:rPr>
          <w:rFonts w:ascii="Garamond" w:hAnsi="Garamond"/>
          <w:color w:val="E5DFEC"/>
          <w:sz w:val="40"/>
          <w:szCs w:val="40"/>
        </w:rPr>
      </w:pPr>
    </w:p>
    <w:p w14:paraId="103582A4" w14:textId="77777777" w:rsidR="00901602" w:rsidRPr="006311F5" w:rsidRDefault="00901602" w:rsidP="00C5086D">
      <w:pPr>
        <w:shd w:val="clear" w:color="auto" w:fill="4F6228"/>
        <w:tabs>
          <w:tab w:val="left" w:pos="3465"/>
        </w:tabs>
        <w:spacing w:before="0" w:after="0" w:line="240" w:lineRule="auto"/>
        <w:rPr>
          <w:rFonts w:ascii="Garamond" w:hAnsi="Garamond"/>
          <w:color w:val="E5DFEC"/>
          <w:sz w:val="40"/>
          <w:szCs w:val="40"/>
        </w:rPr>
      </w:pPr>
      <w:r w:rsidRPr="006311F5">
        <w:rPr>
          <w:rFonts w:ascii="Garamond" w:hAnsi="Garamond"/>
          <w:color w:val="E5DFEC"/>
          <w:sz w:val="40"/>
          <w:szCs w:val="40"/>
        </w:rPr>
        <w:tab/>
      </w:r>
    </w:p>
    <w:p w14:paraId="6FE19A87" w14:textId="6CEDF486" w:rsidR="00901602" w:rsidRPr="006311F5" w:rsidRDefault="0037133D" w:rsidP="00C5086D">
      <w:pPr>
        <w:shd w:val="clear" w:color="auto" w:fill="4F6228"/>
        <w:spacing w:before="0" w:after="0" w:line="240" w:lineRule="auto"/>
        <w:jc w:val="center"/>
        <w:rPr>
          <w:rFonts w:ascii="Garamond" w:hAnsi="Garamond"/>
          <w:b/>
          <w:color w:val="5F497A"/>
          <w:sz w:val="48"/>
          <w:szCs w:val="48"/>
        </w:rPr>
      </w:pPr>
      <w:r>
        <w:rPr>
          <w:rFonts w:ascii="Garamond" w:hAnsi="Garamond"/>
          <w:b/>
          <w:color w:val="E5DFEC"/>
          <w:sz w:val="48"/>
          <w:szCs w:val="48"/>
        </w:rPr>
        <w:t xml:space="preserve">TOURISM CONCESSION GUIDELINES FOR </w:t>
      </w:r>
      <w:r w:rsidR="009F2287" w:rsidRPr="006311F5">
        <w:rPr>
          <w:rFonts w:ascii="Garamond" w:hAnsi="Garamond"/>
          <w:b/>
          <w:color w:val="E5DFEC"/>
          <w:sz w:val="48"/>
          <w:szCs w:val="48"/>
        </w:rPr>
        <w:t>TRANSFRONTIER CONSERVATION AREAS</w:t>
      </w:r>
      <w:r w:rsidR="008921D3" w:rsidRPr="006311F5">
        <w:rPr>
          <w:rFonts w:ascii="Garamond" w:hAnsi="Garamond"/>
          <w:b/>
          <w:color w:val="E5DFEC"/>
          <w:sz w:val="48"/>
          <w:szCs w:val="48"/>
        </w:rPr>
        <w:t xml:space="preserve"> IN SADC</w:t>
      </w:r>
      <w:r w:rsidR="00901602" w:rsidRPr="006311F5">
        <w:rPr>
          <w:rFonts w:ascii="Garamond" w:hAnsi="Garamond"/>
          <w:b/>
          <w:color w:val="5F497A"/>
          <w:sz w:val="48"/>
          <w:szCs w:val="48"/>
        </w:rPr>
        <w:tab/>
      </w:r>
    </w:p>
    <w:p w14:paraId="3CF21BCA" w14:textId="77777777" w:rsidR="00901602" w:rsidRPr="006311F5" w:rsidRDefault="00901602" w:rsidP="00C5086D">
      <w:pPr>
        <w:shd w:val="clear" w:color="auto" w:fill="4F6228"/>
        <w:spacing w:before="0" w:after="0" w:line="240" w:lineRule="auto"/>
        <w:jc w:val="center"/>
        <w:rPr>
          <w:rFonts w:ascii="Garamond" w:hAnsi="Garamond"/>
          <w:b/>
          <w:color w:val="E5DFEC"/>
          <w:sz w:val="48"/>
          <w:szCs w:val="48"/>
        </w:rPr>
      </w:pPr>
    </w:p>
    <w:p w14:paraId="5B3F6224" w14:textId="77777777" w:rsidR="003841E9" w:rsidRDefault="003841E9" w:rsidP="001C2DD8">
      <w:pPr>
        <w:spacing w:before="0" w:after="0" w:line="240" w:lineRule="auto"/>
        <w:rPr>
          <w:rFonts w:ascii="Garamond" w:hAnsi="Garamond"/>
          <w:color w:val="5F497A"/>
          <w:sz w:val="28"/>
          <w:szCs w:val="28"/>
        </w:rPr>
      </w:pPr>
    </w:p>
    <w:p w14:paraId="35B4EEF0" w14:textId="1D61AD18" w:rsidR="003841E9" w:rsidRPr="001C2DD8" w:rsidRDefault="001C2DD8" w:rsidP="00C5086D">
      <w:pPr>
        <w:spacing w:before="0" w:after="0" w:line="240" w:lineRule="auto"/>
        <w:jc w:val="center"/>
        <w:rPr>
          <w:rFonts w:ascii="Garamond" w:hAnsi="Garamond"/>
          <w:color w:val="5F497A"/>
          <w:sz w:val="16"/>
          <w:szCs w:val="16"/>
        </w:rPr>
      </w:pPr>
      <w:r w:rsidRPr="001C2DD8">
        <w:rPr>
          <w:rFonts w:ascii="Garamond" w:hAnsi="Garamond"/>
          <w:noProof/>
          <w:color w:val="5F497A"/>
          <w:sz w:val="16"/>
          <w:szCs w:val="16"/>
        </w:rPr>
        <w:drawing>
          <wp:inline distT="0" distB="0" distL="0" distR="0" wp14:anchorId="473A2C16" wp14:editId="5701D83B">
            <wp:extent cx="5731510" cy="40493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c tfca pic.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049395"/>
                    </a:xfrm>
                    <a:prstGeom prst="rect">
                      <a:avLst/>
                    </a:prstGeom>
                  </pic:spPr>
                </pic:pic>
              </a:graphicData>
            </a:graphic>
          </wp:inline>
        </w:drawing>
      </w:r>
    </w:p>
    <w:p w14:paraId="793F4513" w14:textId="003D27B1" w:rsidR="003841E9" w:rsidRPr="001C2DD8" w:rsidRDefault="001C2DD8" w:rsidP="00C5086D">
      <w:pPr>
        <w:spacing w:before="0" w:after="0" w:line="240" w:lineRule="auto"/>
        <w:jc w:val="center"/>
        <w:rPr>
          <w:rFonts w:ascii="Garamond" w:hAnsi="Garamond"/>
          <w:color w:val="5F497A"/>
          <w:sz w:val="16"/>
          <w:szCs w:val="16"/>
        </w:rPr>
      </w:pPr>
      <w:r w:rsidRPr="001C2DD8">
        <w:rPr>
          <w:rFonts w:ascii="Garamond" w:hAnsi="Garamond"/>
          <w:color w:val="5F497A"/>
          <w:sz w:val="16"/>
          <w:szCs w:val="16"/>
        </w:rPr>
        <w:t>Source: Peace Parks Foundation, 2014</w:t>
      </w:r>
    </w:p>
    <w:p w14:paraId="0B49EC95" w14:textId="77777777" w:rsidR="003841E9" w:rsidRPr="006311F5" w:rsidRDefault="003841E9" w:rsidP="00C5086D">
      <w:pPr>
        <w:spacing w:before="0" w:after="0" w:line="240" w:lineRule="auto"/>
        <w:jc w:val="center"/>
        <w:rPr>
          <w:rFonts w:ascii="Garamond" w:hAnsi="Garamond"/>
          <w:color w:val="5F497A"/>
          <w:sz w:val="28"/>
          <w:szCs w:val="28"/>
        </w:rPr>
      </w:pPr>
    </w:p>
    <w:p w14:paraId="316117F2" w14:textId="0FF43D01" w:rsidR="008921D3" w:rsidRPr="006311F5" w:rsidRDefault="00BF427C" w:rsidP="008921D3">
      <w:pPr>
        <w:spacing w:before="0" w:after="0" w:line="240" w:lineRule="auto"/>
        <w:jc w:val="center"/>
        <w:rPr>
          <w:rFonts w:ascii="Garamond" w:hAnsi="Garamond"/>
          <w:color w:val="76923C"/>
          <w:sz w:val="40"/>
          <w:szCs w:val="40"/>
        </w:rPr>
      </w:pPr>
      <w:r>
        <w:rPr>
          <w:rFonts w:ascii="Garamond" w:hAnsi="Garamond"/>
          <w:color w:val="76923C"/>
          <w:sz w:val="40"/>
          <w:szCs w:val="40"/>
        </w:rPr>
        <w:t xml:space="preserve">Review </w:t>
      </w:r>
      <w:r w:rsidR="008921D3" w:rsidRPr="006311F5">
        <w:rPr>
          <w:rFonts w:ascii="Garamond" w:hAnsi="Garamond"/>
          <w:color w:val="76923C"/>
          <w:sz w:val="40"/>
          <w:szCs w:val="40"/>
        </w:rPr>
        <w:t>Draft: Version 1</w:t>
      </w:r>
    </w:p>
    <w:p w14:paraId="498D496B" w14:textId="77777777" w:rsidR="008921D3" w:rsidRPr="006311F5" w:rsidRDefault="008921D3" w:rsidP="008921D3">
      <w:pPr>
        <w:spacing w:before="0" w:after="0" w:line="240" w:lineRule="auto"/>
        <w:jc w:val="center"/>
        <w:rPr>
          <w:rFonts w:ascii="Garamond" w:hAnsi="Garamond"/>
          <w:color w:val="76923C"/>
          <w:sz w:val="40"/>
          <w:szCs w:val="40"/>
        </w:rPr>
      </w:pPr>
    </w:p>
    <w:p w14:paraId="0B9AB7E3" w14:textId="3067F476" w:rsidR="008921D3" w:rsidRPr="006311F5" w:rsidRDefault="00BF427C" w:rsidP="008921D3">
      <w:pPr>
        <w:spacing w:before="0" w:after="0" w:line="240" w:lineRule="auto"/>
        <w:jc w:val="center"/>
        <w:rPr>
          <w:rFonts w:ascii="Garamond" w:hAnsi="Garamond"/>
          <w:color w:val="76923C"/>
        </w:rPr>
      </w:pPr>
      <w:r>
        <w:rPr>
          <w:rFonts w:ascii="Garamond" w:hAnsi="Garamond"/>
          <w:color w:val="76923C"/>
        </w:rPr>
        <w:t>14</w:t>
      </w:r>
      <w:r w:rsidR="005458A3">
        <w:rPr>
          <w:rFonts w:ascii="Garamond" w:hAnsi="Garamond"/>
          <w:color w:val="76923C"/>
        </w:rPr>
        <w:t xml:space="preserve"> August</w:t>
      </w:r>
      <w:r w:rsidR="008921D3" w:rsidRPr="006311F5">
        <w:rPr>
          <w:rFonts w:ascii="Garamond" w:hAnsi="Garamond"/>
          <w:color w:val="76923C"/>
        </w:rPr>
        <w:t xml:space="preserve"> 2014</w:t>
      </w:r>
    </w:p>
    <w:p w14:paraId="681965BE" w14:textId="77777777" w:rsidR="008921D3" w:rsidRPr="006311F5" w:rsidRDefault="008921D3" w:rsidP="001C2DD8">
      <w:pPr>
        <w:spacing w:before="0" w:after="0" w:line="240" w:lineRule="auto"/>
        <w:rPr>
          <w:rFonts w:ascii="Garamond" w:hAnsi="Garamond"/>
          <w:color w:val="5F497A"/>
          <w:sz w:val="28"/>
          <w:szCs w:val="28"/>
        </w:rPr>
      </w:pPr>
    </w:p>
    <w:p w14:paraId="7FD4338F" w14:textId="77777777" w:rsidR="00901602"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 xml:space="preserve">Dr </w:t>
      </w:r>
      <w:r w:rsidR="00901602" w:rsidRPr="006311F5">
        <w:rPr>
          <w:rFonts w:ascii="Garamond" w:hAnsi="Garamond"/>
          <w:color w:val="76923C"/>
          <w:sz w:val="28"/>
          <w:szCs w:val="28"/>
        </w:rPr>
        <w:t>Anna Spenceley</w:t>
      </w:r>
    </w:p>
    <w:p w14:paraId="0ACAE5DF" w14:textId="77777777" w:rsidR="009F2287" w:rsidRPr="006311F5" w:rsidRDefault="009F2287" w:rsidP="00C5086D">
      <w:pPr>
        <w:spacing w:before="0" w:after="0" w:line="240" w:lineRule="auto"/>
        <w:jc w:val="center"/>
        <w:rPr>
          <w:rFonts w:ascii="Garamond" w:hAnsi="Garamond"/>
          <w:color w:val="76923C"/>
          <w:sz w:val="28"/>
          <w:szCs w:val="28"/>
        </w:rPr>
      </w:pPr>
    </w:p>
    <w:p w14:paraId="24E1454D" w14:textId="77777777" w:rsidR="009F2287"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PO Box 132, Dolphin Coast, Ballito, 4404, South Africa</w:t>
      </w:r>
    </w:p>
    <w:p w14:paraId="712C51AB" w14:textId="77777777" w:rsidR="006D06DE"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annaspenceley@gmail.com / +27 72 311 5700</w:t>
      </w:r>
    </w:p>
    <w:p w14:paraId="4C45FDE3" w14:textId="77777777" w:rsidR="009F2287"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www.anna.spenceley.co.uk</w:t>
      </w:r>
    </w:p>
    <w:p w14:paraId="42C37C36" w14:textId="4528587D" w:rsidR="00901602" w:rsidRPr="006311F5" w:rsidRDefault="00901602" w:rsidP="00C5086D">
      <w:pPr>
        <w:spacing w:before="0" w:after="0" w:line="240" w:lineRule="auto"/>
        <w:rPr>
          <w:rFonts w:ascii="Garamond" w:hAnsi="Garamond"/>
        </w:rPr>
      </w:pPr>
    </w:p>
    <w:p w14:paraId="6080F031" w14:textId="77777777" w:rsidR="00901602" w:rsidRPr="006311F5" w:rsidRDefault="00901602" w:rsidP="00C5086D">
      <w:pPr>
        <w:pStyle w:val="TOCHeading1"/>
        <w:shd w:val="clear" w:color="auto" w:fill="4F6228"/>
        <w:spacing w:before="0" w:line="240" w:lineRule="auto"/>
        <w:rPr>
          <w:rFonts w:ascii="Garamond" w:hAnsi="Garamond" w:cs="Calibri"/>
          <w:sz w:val="24"/>
          <w:szCs w:val="24"/>
        </w:rPr>
      </w:pPr>
      <w:bookmarkStart w:id="1" w:name="_Ref289423556"/>
      <w:bookmarkStart w:id="2" w:name="_Ref289423552"/>
      <w:r w:rsidRPr="006311F5">
        <w:rPr>
          <w:rFonts w:ascii="Garamond" w:hAnsi="Garamond" w:cs="Calibri"/>
          <w:sz w:val="24"/>
          <w:szCs w:val="24"/>
        </w:rPr>
        <w:t>Table of Contents</w:t>
      </w:r>
    </w:p>
    <w:p w14:paraId="4D8B7A11" w14:textId="77777777" w:rsidR="000B6955" w:rsidRPr="006311F5" w:rsidRDefault="000B6955">
      <w:pPr>
        <w:pStyle w:val="TOC1"/>
        <w:tabs>
          <w:tab w:val="left" w:pos="341"/>
        </w:tabs>
        <w:rPr>
          <w:rFonts w:ascii="Garamond" w:hAnsi="Garamond"/>
        </w:rPr>
      </w:pPr>
    </w:p>
    <w:p w14:paraId="30A4129C" w14:textId="77777777" w:rsidR="002E038E" w:rsidRPr="002E038E" w:rsidRDefault="00995D2D">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sz w:val="18"/>
          <w:szCs w:val="18"/>
        </w:rPr>
        <w:fldChar w:fldCharType="begin"/>
      </w:r>
      <w:r w:rsidR="00901602" w:rsidRPr="002E038E">
        <w:rPr>
          <w:rFonts w:ascii="Garamond" w:hAnsi="Garamond"/>
          <w:sz w:val="18"/>
          <w:szCs w:val="18"/>
        </w:rPr>
        <w:instrText xml:space="preserve"> TOC \o "1-4" \h \z \u </w:instrText>
      </w:r>
      <w:r w:rsidRPr="002E038E">
        <w:rPr>
          <w:rFonts w:ascii="Garamond" w:hAnsi="Garamond"/>
          <w:sz w:val="18"/>
          <w:szCs w:val="18"/>
        </w:rPr>
        <w:fldChar w:fldCharType="separate"/>
      </w:r>
      <w:r w:rsidR="002E038E" w:rsidRPr="002E038E">
        <w:rPr>
          <w:rFonts w:ascii="Garamond" w:hAnsi="Garamond"/>
          <w:noProof/>
          <w:sz w:val="18"/>
          <w:szCs w:val="18"/>
        </w:rPr>
        <w:t>1.1</w:t>
      </w:r>
      <w:r w:rsidR="002E038E" w:rsidRPr="002E038E">
        <w:rPr>
          <w:rFonts w:asciiTheme="minorHAnsi" w:eastAsiaTheme="minorEastAsia" w:hAnsiTheme="minorHAnsi" w:cstheme="minorBidi"/>
          <w:smallCaps w:val="0"/>
          <w:noProof/>
          <w:sz w:val="18"/>
          <w:szCs w:val="18"/>
          <w:lang w:eastAsia="ja-JP"/>
        </w:rPr>
        <w:tab/>
      </w:r>
      <w:r w:rsidR="002E038E" w:rsidRPr="002E038E">
        <w:rPr>
          <w:rFonts w:ascii="Garamond" w:hAnsi="Garamond"/>
          <w:noProof/>
          <w:sz w:val="18"/>
          <w:szCs w:val="18"/>
        </w:rPr>
        <w:t>Acronyms</w:t>
      </w:r>
      <w:r w:rsidR="002E038E" w:rsidRPr="002E038E">
        <w:rPr>
          <w:noProof/>
          <w:sz w:val="18"/>
          <w:szCs w:val="18"/>
        </w:rPr>
        <w:tab/>
      </w:r>
      <w:r w:rsidR="002E038E" w:rsidRPr="002E038E">
        <w:rPr>
          <w:noProof/>
          <w:sz w:val="18"/>
          <w:szCs w:val="18"/>
        </w:rPr>
        <w:fldChar w:fldCharType="begin"/>
      </w:r>
      <w:r w:rsidR="002E038E" w:rsidRPr="002E038E">
        <w:rPr>
          <w:noProof/>
          <w:sz w:val="18"/>
          <w:szCs w:val="18"/>
        </w:rPr>
        <w:instrText xml:space="preserve"> PAGEREF _Toc269636316 \h </w:instrText>
      </w:r>
      <w:r w:rsidR="002E038E" w:rsidRPr="002E038E">
        <w:rPr>
          <w:noProof/>
          <w:sz w:val="18"/>
          <w:szCs w:val="18"/>
        </w:rPr>
      </w:r>
      <w:r w:rsidR="002E038E" w:rsidRPr="002E038E">
        <w:rPr>
          <w:noProof/>
          <w:sz w:val="18"/>
          <w:szCs w:val="18"/>
        </w:rPr>
        <w:fldChar w:fldCharType="separate"/>
      </w:r>
      <w:r w:rsidR="002E038E" w:rsidRPr="002E038E">
        <w:rPr>
          <w:noProof/>
          <w:sz w:val="18"/>
          <w:szCs w:val="18"/>
        </w:rPr>
        <w:t>3</w:t>
      </w:r>
      <w:r w:rsidR="002E038E" w:rsidRPr="002E038E">
        <w:rPr>
          <w:noProof/>
          <w:sz w:val="18"/>
          <w:szCs w:val="18"/>
        </w:rPr>
        <w:fldChar w:fldCharType="end"/>
      </w:r>
    </w:p>
    <w:p w14:paraId="216AC0C4"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1.2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acknowledgements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_Toc269636317 \h </w:instrText>
      </w:r>
      <w:r w:rsidRPr="002E038E">
        <w:rPr>
          <w:noProof/>
          <w:sz w:val="18"/>
          <w:szCs w:val="18"/>
        </w:rPr>
      </w:r>
      <w:r w:rsidRPr="002E038E">
        <w:rPr>
          <w:noProof/>
          <w:sz w:val="18"/>
          <w:szCs w:val="18"/>
        </w:rPr>
        <w:fldChar w:fldCharType="separate"/>
      </w:r>
      <w:r w:rsidRPr="002E038E">
        <w:rPr>
          <w:noProof/>
          <w:sz w:val="18"/>
          <w:szCs w:val="18"/>
        </w:rPr>
        <w:t>3</w:t>
      </w:r>
      <w:r w:rsidRPr="002E038E">
        <w:rPr>
          <w:noProof/>
          <w:sz w:val="18"/>
          <w:szCs w:val="18"/>
        </w:rPr>
        <w:fldChar w:fldCharType="end"/>
      </w:r>
    </w:p>
    <w:p w14:paraId="1771EDBB"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2</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introduction</w:t>
      </w:r>
      <w:r w:rsidRPr="002E038E">
        <w:rPr>
          <w:sz w:val="18"/>
          <w:szCs w:val="18"/>
        </w:rPr>
        <w:tab/>
      </w:r>
      <w:r w:rsidRPr="002E038E">
        <w:rPr>
          <w:sz w:val="18"/>
          <w:szCs w:val="18"/>
        </w:rPr>
        <w:fldChar w:fldCharType="begin"/>
      </w:r>
      <w:r w:rsidRPr="002E038E">
        <w:rPr>
          <w:sz w:val="18"/>
          <w:szCs w:val="18"/>
        </w:rPr>
        <w:instrText xml:space="preserve"> PAGEREF _Toc269636318 \h </w:instrText>
      </w:r>
      <w:r w:rsidRPr="002E038E">
        <w:rPr>
          <w:sz w:val="18"/>
          <w:szCs w:val="18"/>
        </w:rPr>
      </w:r>
      <w:r w:rsidRPr="002E038E">
        <w:rPr>
          <w:sz w:val="18"/>
          <w:szCs w:val="18"/>
        </w:rPr>
        <w:fldChar w:fldCharType="separate"/>
      </w:r>
      <w:r w:rsidRPr="002E038E">
        <w:rPr>
          <w:sz w:val="18"/>
          <w:szCs w:val="18"/>
        </w:rPr>
        <w:t>5</w:t>
      </w:r>
      <w:r w:rsidRPr="002E038E">
        <w:rPr>
          <w:sz w:val="18"/>
          <w:szCs w:val="18"/>
        </w:rPr>
        <w:fldChar w:fldCharType="end"/>
      </w:r>
    </w:p>
    <w:p w14:paraId="08B9E03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Aim and objectives of the guidelines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_Toc269636319 \h </w:instrText>
      </w:r>
      <w:r w:rsidRPr="002E038E">
        <w:rPr>
          <w:noProof/>
          <w:sz w:val="18"/>
          <w:szCs w:val="18"/>
        </w:rPr>
      </w:r>
      <w:r w:rsidRPr="002E038E">
        <w:rPr>
          <w:noProof/>
          <w:sz w:val="18"/>
          <w:szCs w:val="18"/>
        </w:rPr>
        <w:fldChar w:fldCharType="separate"/>
      </w:r>
      <w:r w:rsidRPr="002E038E">
        <w:rPr>
          <w:noProof/>
          <w:sz w:val="18"/>
          <w:szCs w:val="18"/>
        </w:rPr>
        <w:t>5</w:t>
      </w:r>
      <w:r w:rsidRPr="002E038E">
        <w:rPr>
          <w:noProof/>
          <w:sz w:val="18"/>
          <w:szCs w:val="18"/>
        </w:rPr>
        <w:fldChar w:fldCharType="end"/>
      </w:r>
    </w:p>
    <w:p w14:paraId="5DDAC005"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Scope, structure and content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_Toc269636320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2C05623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Target audience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_Toc269636321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659504F5"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Background to the guidelines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_Toc269636322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20EC2151"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3</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Concessioning process</w:t>
      </w:r>
      <w:r w:rsidRPr="002E038E">
        <w:rPr>
          <w:sz w:val="18"/>
          <w:szCs w:val="18"/>
        </w:rPr>
        <w:tab/>
      </w:r>
      <w:r w:rsidRPr="002E038E">
        <w:rPr>
          <w:sz w:val="18"/>
          <w:szCs w:val="18"/>
        </w:rPr>
        <w:fldChar w:fldCharType="begin"/>
      </w:r>
      <w:r w:rsidRPr="002E038E">
        <w:rPr>
          <w:sz w:val="18"/>
          <w:szCs w:val="18"/>
        </w:rPr>
        <w:instrText xml:space="preserve"> PAGEREF _Toc269636323 \h </w:instrText>
      </w:r>
      <w:r w:rsidRPr="002E038E">
        <w:rPr>
          <w:sz w:val="18"/>
          <w:szCs w:val="18"/>
        </w:rPr>
      </w:r>
      <w:r w:rsidRPr="002E038E">
        <w:rPr>
          <w:sz w:val="18"/>
          <w:szCs w:val="18"/>
        </w:rPr>
        <w:fldChar w:fldCharType="separate"/>
      </w:r>
      <w:r w:rsidRPr="002E038E">
        <w:rPr>
          <w:sz w:val="18"/>
          <w:szCs w:val="18"/>
        </w:rPr>
        <w:t>7</w:t>
      </w:r>
      <w:r w:rsidRPr="002E038E">
        <w:rPr>
          <w:sz w:val="18"/>
          <w:szCs w:val="18"/>
        </w:rPr>
        <w:fldChar w:fldCharType="end"/>
      </w:r>
    </w:p>
    <w:p w14:paraId="1DC6F300"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1: Scoping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_Toc269636324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746500EB"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Goals, motivations and objectives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_Toc269636325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61E120D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Concessions experience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_Toc269636326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14B6DB4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Potential barriers to concessioning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_Toc269636327 \h </w:instrText>
      </w:r>
      <w:r w:rsidRPr="002E038E">
        <w:rPr>
          <w:noProof/>
          <w:sz w:val="18"/>
          <w:szCs w:val="18"/>
        </w:rPr>
      </w:r>
      <w:r w:rsidRPr="002E038E">
        <w:rPr>
          <w:noProof/>
          <w:sz w:val="18"/>
          <w:szCs w:val="18"/>
        </w:rPr>
        <w:fldChar w:fldCharType="separate"/>
      </w:r>
      <w:r w:rsidRPr="002E038E">
        <w:rPr>
          <w:noProof/>
          <w:sz w:val="18"/>
          <w:szCs w:val="18"/>
        </w:rPr>
        <w:t>9</w:t>
      </w:r>
      <w:r w:rsidRPr="002E038E">
        <w:rPr>
          <w:noProof/>
          <w:sz w:val="18"/>
          <w:szCs w:val="18"/>
        </w:rPr>
        <w:fldChar w:fldCharType="end"/>
      </w:r>
    </w:p>
    <w:p w14:paraId="4606616C"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Whether to proceed or not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_Toc269636328 \h </w:instrText>
      </w:r>
      <w:r w:rsidRPr="002E038E">
        <w:rPr>
          <w:noProof/>
          <w:sz w:val="18"/>
          <w:szCs w:val="18"/>
        </w:rPr>
      </w:r>
      <w:r w:rsidRPr="002E038E">
        <w:rPr>
          <w:noProof/>
          <w:sz w:val="18"/>
          <w:szCs w:val="18"/>
        </w:rPr>
        <w:fldChar w:fldCharType="separate"/>
      </w:r>
      <w:r w:rsidRPr="002E038E">
        <w:rPr>
          <w:noProof/>
          <w:sz w:val="18"/>
          <w:szCs w:val="18"/>
        </w:rPr>
        <w:t>9</w:t>
      </w:r>
      <w:r w:rsidRPr="002E038E">
        <w:rPr>
          <w:noProof/>
          <w:sz w:val="18"/>
          <w:szCs w:val="18"/>
        </w:rPr>
        <w:fldChar w:fldCharType="end"/>
      </w:r>
    </w:p>
    <w:p w14:paraId="7DD43C08"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2: Design and feasibility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_Toc269636329 \h </w:instrText>
      </w:r>
      <w:r w:rsidRPr="002E038E">
        <w:rPr>
          <w:noProof/>
          <w:sz w:val="18"/>
          <w:szCs w:val="18"/>
        </w:rPr>
      </w:r>
      <w:r w:rsidRPr="002E038E">
        <w:rPr>
          <w:noProof/>
          <w:sz w:val="18"/>
          <w:szCs w:val="18"/>
        </w:rPr>
        <w:fldChar w:fldCharType="separate"/>
      </w:r>
      <w:r w:rsidRPr="002E038E">
        <w:rPr>
          <w:noProof/>
          <w:sz w:val="18"/>
          <w:szCs w:val="18"/>
        </w:rPr>
        <w:t>11</w:t>
      </w:r>
      <w:r w:rsidRPr="002E038E">
        <w:rPr>
          <w:noProof/>
          <w:sz w:val="18"/>
          <w:szCs w:val="18"/>
        </w:rPr>
        <w:fldChar w:fldCharType="end"/>
      </w:r>
    </w:p>
    <w:p w14:paraId="520FE9E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Policy and legislative framework</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_Toc269636330 \h </w:instrText>
      </w:r>
      <w:r w:rsidRPr="002E038E">
        <w:rPr>
          <w:noProof/>
          <w:sz w:val="18"/>
          <w:szCs w:val="18"/>
        </w:rPr>
      </w:r>
      <w:r w:rsidRPr="002E038E">
        <w:rPr>
          <w:noProof/>
          <w:sz w:val="18"/>
          <w:szCs w:val="18"/>
        </w:rPr>
        <w:fldChar w:fldCharType="separate"/>
      </w:r>
      <w:r w:rsidRPr="002E038E">
        <w:rPr>
          <w:noProof/>
          <w:sz w:val="18"/>
          <w:szCs w:val="18"/>
        </w:rPr>
        <w:t>11</w:t>
      </w:r>
      <w:r w:rsidRPr="002E038E">
        <w:rPr>
          <w:noProof/>
          <w:sz w:val="18"/>
          <w:szCs w:val="18"/>
        </w:rPr>
        <w:fldChar w:fldCharType="end"/>
      </w:r>
    </w:p>
    <w:p w14:paraId="478D2B7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Spatial planning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_Toc269636331 \h </w:instrText>
      </w:r>
      <w:r w:rsidRPr="002E038E">
        <w:rPr>
          <w:noProof/>
          <w:sz w:val="18"/>
          <w:szCs w:val="18"/>
        </w:rPr>
      </w:r>
      <w:r w:rsidRPr="002E038E">
        <w:rPr>
          <w:noProof/>
          <w:sz w:val="18"/>
          <w:szCs w:val="18"/>
        </w:rPr>
        <w:fldChar w:fldCharType="separate"/>
      </w:r>
      <w:r w:rsidRPr="002E038E">
        <w:rPr>
          <w:noProof/>
          <w:sz w:val="18"/>
          <w:szCs w:val="18"/>
        </w:rPr>
        <w:t>12</w:t>
      </w:r>
      <w:r w:rsidRPr="002E038E">
        <w:rPr>
          <w:noProof/>
          <w:sz w:val="18"/>
          <w:szCs w:val="18"/>
        </w:rPr>
        <w:fldChar w:fldCharType="end"/>
      </w:r>
    </w:p>
    <w:p w14:paraId="0DC876C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Tourism product types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_Toc269636332 \h </w:instrText>
      </w:r>
      <w:r w:rsidRPr="002E038E">
        <w:rPr>
          <w:noProof/>
          <w:sz w:val="18"/>
          <w:szCs w:val="18"/>
        </w:rPr>
      </w:r>
      <w:r w:rsidRPr="002E038E">
        <w:rPr>
          <w:noProof/>
          <w:sz w:val="18"/>
          <w:szCs w:val="18"/>
        </w:rPr>
        <w:fldChar w:fldCharType="separate"/>
      </w:r>
      <w:r w:rsidRPr="002E038E">
        <w:rPr>
          <w:noProof/>
          <w:sz w:val="18"/>
          <w:szCs w:val="18"/>
        </w:rPr>
        <w:t>13</w:t>
      </w:r>
      <w:r w:rsidRPr="002E038E">
        <w:rPr>
          <w:noProof/>
          <w:sz w:val="18"/>
          <w:szCs w:val="18"/>
        </w:rPr>
        <w:fldChar w:fldCharType="end"/>
      </w:r>
    </w:p>
    <w:p w14:paraId="5E826DC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Concession model selection</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_Toc269636333 \h </w:instrText>
      </w:r>
      <w:r w:rsidRPr="002E038E">
        <w:rPr>
          <w:noProof/>
          <w:sz w:val="18"/>
          <w:szCs w:val="18"/>
        </w:rPr>
      </w:r>
      <w:r w:rsidRPr="002E038E">
        <w:rPr>
          <w:noProof/>
          <w:sz w:val="18"/>
          <w:szCs w:val="18"/>
        </w:rPr>
        <w:fldChar w:fldCharType="separate"/>
      </w:r>
      <w:r w:rsidRPr="002E038E">
        <w:rPr>
          <w:noProof/>
          <w:sz w:val="18"/>
          <w:szCs w:val="18"/>
        </w:rPr>
        <w:t>14</w:t>
      </w:r>
      <w:r w:rsidRPr="002E038E">
        <w:rPr>
          <w:noProof/>
          <w:sz w:val="18"/>
          <w:szCs w:val="18"/>
        </w:rPr>
        <w:fldChar w:fldCharType="end"/>
      </w:r>
    </w:p>
    <w:p w14:paraId="4CB9C322"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Development impact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_Toc269636334 \h </w:instrText>
      </w:r>
      <w:r w:rsidRPr="002E038E">
        <w:rPr>
          <w:noProof/>
          <w:sz w:val="18"/>
          <w:szCs w:val="18"/>
        </w:rPr>
      </w:r>
      <w:r w:rsidRPr="002E038E">
        <w:rPr>
          <w:noProof/>
          <w:sz w:val="18"/>
          <w:szCs w:val="18"/>
        </w:rPr>
        <w:fldChar w:fldCharType="separate"/>
      </w:r>
      <w:r w:rsidRPr="002E038E">
        <w:rPr>
          <w:noProof/>
          <w:sz w:val="18"/>
          <w:szCs w:val="18"/>
        </w:rPr>
        <w:t>15</w:t>
      </w:r>
      <w:r w:rsidRPr="002E038E">
        <w:rPr>
          <w:noProof/>
          <w:sz w:val="18"/>
          <w:szCs w:val="18"/>
        </w:rPr>
        <w:fldChar w:fldCharType="end"/>
      </w:r>
    </w:p>
    <w:p w14:paraId="0D7FBB68"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3.2.6</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Risk</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_Toc269636335 \h </w:instrText>
      </w:r>
      <w:r w:rsidRPr="002E038E">
        <w:rPr>
          <w:noProof/>
          <w:sz w:val="18"/>
          <w:szCs w:val="18"/>
        </w:rPr>
      </w:r>
      <w:r w:rsidRPr="002E038E">
        <w:rPr>
          <w:noProof/>
          <w:sz w:val="18"/>
          <w:szCs w:val="18"/>
        </w:rPr>
        <w:fldChar w:fldCharType="separate"/>
      </w:r>
      <w:r w:rsidRPr="002E038E">
        <w:rPr>
          <w:noProof/>
          <w:sz w:val="18"/>
          <w:szCs w:val="18"/>
        </w:rPr>
        <w:t>17</w:t>
      </w:r>
      <w:r w:rsidRPr="002E038E">
        <w:rPr>
          <w:noProof/>
          <w:sz w:val="18"/>
          <w:szCs w:val="18"/>
        </w:rPr>
        <w:fldChar w:fldCharType="end"/>
      </w:r>
    </w:p>
    <w:p w14:paraId="78454644"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3.2.7</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Stakeholder engagement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_Toc269636336 \h </w:instrText>
      </w:r>
      <w:r w:rsidRPr="002E038E">
        <w:rPr>
          <w:noProof/>
          <w:sz w:val="18"/>
          <w:szCs w:val="18"/>
        </w:rPr>
      </w:r>
      <w:r w:rsidRPr="002E038E">
        <w:rPr>
          <w:noProof/>
          <w:sz w:val="18"/>
          <w:szCs w:val="18"/>
        </w:rPr>
        <w:fldChar w:fldCharType="separate"/>
      </w:r>
      <w:r w:rsidRPr="002E038E">
        <w:rPr>
          <w:noProof/>
          <w:sz w:val="18"/>
          <w:szCs w:val="18"/>
        </w:rPr>
        <w:t>17</w:t>
      </w:r>
      <w:r w:rsidRPr="002E038E">
        <w:rPr>
          <w:noProof/>
          <w:sz w:val="18"/>
          <w:szCs w:val="18"/>
        </w:rPr>
        <w:fldChar w:fldCharType="end"/>
      </w:r>
    </w:p>
    <w:p w14:paraId="14A59578"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3.2.8</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Viability and market assessment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_Toc269636337 \h </w:instrText>
      </w:r>
      <w:r w:rsidRPr="002E038E">
        <w:rPr>
          <w:noProof/>
          <w:sz w:val="18"/>
          <w:szCs w:val="18"/>
        </w:rPr>
      </w:r>
      <w:r w:rsidRPr="002E038E">
        <w:rPr>
          <w:noProof/>
          <w:sz w:val="18"/>
          <w:szCs w:val="18"/>
        </w:rPr>
        <w:fldChar w:fldCharType="separate"/>
      </w:r>
      <w:r w:rsidRPr="002E038E">
        <w:rPr>
          <w:noProof/>
          <w:sz w:val="18"/>
          <w:szCs w:val="18"/>
        </w:rPr>
        <w:t>18</w:t>
      </w:r>
      <w:r w:rsidRPr="002E038E">
        <w:rPr>
          <w:noProof/>
          <w:sz w:val="18"/>
          <w:szCs w:val="18"/>
        </w:rPr>
        <w:fldChar w:fldCharType="end"/>
      </w:r>
    </w:p>
    <w:p w14:paraId="2F63CC5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3: Procurement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_Toc269636338 \h </w:instrText>
      </w:r>
      <w:r w:rsidRPr="002E038E">
        <w:rPr>
          <w:noProof/>
          <w:sz w:val="18"/>
          <w:szCs w:val="18"/>
        </w:rPr>
      </w:r>
      <w:r w:rsidRPr="002E038E">
        <w:rPr>
          <w:noProof/>
          <w:sz w:val="18"/>
          <w:szCs w:val="18"/>
        </w:rPr>
        <w:fldChar w:fldCharType="separate"/>
      </w:r>
      <w:r w:rsidRPr="002E038E">
        <w:rPr>
          <w:noProof/>
          <w:sz w:val="18"/>
          <w:szCs w:val="18"/>
        </w:rPr>
        <w:t>21</w:t>
      </w:r>
      <w:r w:rsidRPr="002E038E">
        <w:rPr>
          <w:noProof/>
          <w:sz w:val="18"/>
          <w:szCs w:val="18"/>
        </w:rPr>
        <w:fldChar w:fldCharType="end"/>
      </w:r>
    </w:p>
    <w:p w14:paraId="22A25AA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Investment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_Toc269636339 \h </w:instrText>
      </w:r>
      <w:r w:rsidRPr="002E038E">
        <w:rPr>
          <w:noProof/>
          <w:sz w:val="18"/>
          <w:szCs w:val="18"/>
        </w:rPr>
      </w:r>
      <w:r w:rsidRPr="002E038E">
        <w:rPr>
          <w:noProof/>
          <w:sz w:val="18"/>
          <w:szCs w:val="18"/>
        </w:rPr>
        <w:fldChar w:fldCharType="separate"/>
      </w:r>
      <w:r w:rsidRPr="002E038E">
        <w:rPr>
          <w:noProof/>
          <w:sz w:val="18"/>
          <w:szCs w:val="18"/>
        </w:rPr>
        <w:t>21</w:t>
      </w:r>
      <w:r w:rsidRPr="002E038E">
        <w:rPr>
          <w:noProof/>
          <w:sz w:val="18"/>
          <w:szCs w:val="18"/>
        </w:rPr>
        <w:fldChar w:fldCharType="end"/>
      </w:r>
    </w:p>
    <w:p w14:paraId="497D867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Transaction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_Toc269636340 \h </w:instrText>
      </w:r>
      <w:r w:rsidRPr="002E038E">
        <w:rPr>
          <w:noProof/>
          <w:sz w:val="18"/>
          <w:szCs w:val="18"/>
        </w:rPr>
      </w:r>
      <w:r w:rsidRPr="002E038E">
        <w:rPr>
          <w:noProof/>
          <w:sz w:val="18"/>
          <w:szCs w:val="18"/>
        </w:rPr>
        <w:fldChar w:fldCharType="separate"/>
      </w:r>
      <w:r w:rsidRPr="002E038E">
        <w:rPr>
          <w:noProof/>
          <w:sz w:val="18"/>
          <w:szCs w:val="18"/>
        </w:rPr>
        <w:t>22</w:t>
      </w:r>
      <w:r w:rsidRPr="002E038E">
        <w:rPr>
          <w:noProof/>
          <w:sz w:val="18"/>
          <w:szCs w:val="18"/>
        </w:rPr>
        <w:fldChar w:fldCharType="end"/>
      </w:r>
    </w:p>
    <w:p w14:paraId="6F9CB1D0"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Development of transaction materials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_Toc269636341 \h </w:instrText>
      </w:r>
      <w:r w:rsidRPr="002E038E">
        <w:rPr>
          <w:noProof/>
          <w:sz w:val="18"/>
          <w:szCs w:val="18"/>
        </w:rPr>
      </w:r>
      <w:r w:rsidRPr="002E038E">
        <w:rPr>
          <w:noProof/>
          <w:sz w:val="18"/>
          <w:szCs w:val="18"/>
        </w:rPr>
        <w:fldChar w:fldCharType="separate"/>
      </w:r>
      <w:r w:rsidRPr="002E038E">
        <w:rPr>
          <w:noProof/>
          <w:sz w:val="18"/>
          <w:szCs w:val="18"/>
        </w:rPr>
        <w:t>24</w:t>
      </w:r>
      <w:r w:rsidRPr="002E038E">
        <w:rPr>
          <w:noProof/>
          <w:sz w:val="18"/>
          <w:szCs w:val="18"/>
        </w:rPr>
        <w:fldChar w:fldCharType="end"/>
      </w:r>
    </w:p>
    <w:p w14:paraId="695E5AF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Evaluation committee development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_Toc269636342 \h </w:instrText>
      </w:r>
      <w:r w:rsidRPr="002E038E">
        <w:rPr>
          <w:noProof/>
          <w:sz w:val="18"/>
          <w:szCs w:val="18"/>
        </w:rPr>
      </w:r>
      <w:r w:rsidRPr="002E038E">
        <w:rPr>
          <w:noProof/>
          <w:sz w:val="18"/>
          <w:szCs w:val="18"/>
        </w:rPr>
        <w:fldChar w:fldCharType="separate"/>
      </w:r>
      <w:r w:rsidRPr="002E038E">
        <w:rPr>
          <w:noProof/>
          <w:sz w:val="18"/>
          <w:szCs w:val="18"/>
        </w:rPr>
        <w:t>27</w:t>
      </w:r>
      <w:r w:rsidRPr="002E038E">
        <w:rPr>
          <w:noProof/>
          <w:sz w:val="18"/>
          <w:szCs w:val="18"/>
        </w:rPr>
        <w:fldChar w:fldCharType="end"/>
      </w:r>
    </w:p>
    <w:p w14:paraId="63D3BC6B"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4: Transaction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_Toc269636343 \h </w:instrText>
      </w:r>
      <w:r w:rsidRPr="002E038E">
        <w:rPr>
          <w:noProof/>
          <w:sz w:val="18"/>
          <w:szCs w:val="18"/>
        </w:rPr>
      </w:r>
      <w:r w:rsidRPr="002E038E">
        <w:rPr>
          <w:noProof/>
          <w:sz w:val="18"/>
          <w:szCs w:val="18"/>
        </w:rPr>
        <w:fldChar w:fldCharType="separate"/>
      </w:r>
      <w:r w:rsidRPr="002E038E">
        <w:rPr>
          <w:noProof/>
          <w:sz w:val="18"/>
          <w:szCs w:val="18"/>
        </w:rPr>
        <w:t>28</w:t>
      </w:r>
      <w:r w:rsidRPr="002E038E">
        <w:rPr>
          <w:noProof/>
          <w:sz w:val="18"/>
          <w:szCs w:val="18"/>
        </w:rPr>
        <w:fldChar w:fldCharType="end"/>
      </w:r>
    </w:p>
    <w:p w14:paraId="4CF0522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3.4.1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procurement process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_Toc269636344 \h </w:instrText>
      </w:r>
      <w:r w:rsidRPr="002E038E">
        <w:rPr>
          <w:noProof/>
          <w:sz w:val="18"/>
          <w:szCs w:val="18"/>
        </w:rPr>
      </w:r>
      <w:r w:rsidRPr="002E038E">
        <w:rPr>
          <w:noProof/>
          <w:sz w:val="18"/>
          <w:szCs w:val="18"/>
        </w:rPr>
        <w:fldChar w:fldCharType="separate"/>
      </w:r>
      <w:r w:rsidRPr="002E038E">
        <w:rPr>
          <w:noProof/>
          <w:sz w:val="18"/>
          <w:szCs w:val="18"/>
        </w:rPr>
        <w:t>28</w:t>
      </w:r>
      <w:r w:rsidRPr="002E038E">
        <w:rPr>
          <w:noProof/>
          <w:sz w:val="18"/>
          <w:szCs w:val="18"/>
        </w:rPr>
        <w:fldChar w:fldCharType="end"/>
      </w:r>
    </w:p>
    <w:p w14:paraId="3A8C709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3.4.2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win-win deals and things to avoid</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_Toc269636345 \h </w:instrText>
      </w:r>
      <w:r w:rsidRPr="002E038E">
        <w:rPr>
          <w:noProof/>
          <w:sz w:val="18"/>
          <w:szCs w:val="18"/>
        </w:rPr>
      </w:r>
      <w:r w:rsidRPr="002E038E">
        <w:rPr>
          <w:noProof/>
          <w:sz w:val="18"/>
          <w:szCs w:val="18"/>
        </w:rPr>
        <w:fldChar w:fldCharType="separate"/>
      </w:r>
      <w:r w:rsidRPr="002E038E">
        <w:rPr>
          <w:noProof/>
          <w:sz w:val="18"/>
          <w:szCs w:val="18"/>
        </w:rPr>
        <w:t>30</w:t>
      </w:r>
      <w:r w:rsidRPr="002E038E">
        <w:rPr>
          <w:noProof/>
          <w:sz w:val="18"/>
          <w:szCs w:val="18"/>
        </w:rPr>
        <w:fldChar w:fldCharType="end"/>
      </w:r>
    </w:p>
    <w:p w14:paraId="38C93E0F"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3.5</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5: Contract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_Toc269636346 \h </w:instrText>
      </w:r>
      <w:r w:rsidRPr="002E038E">
        <w:rPr>
          <w:noProof/>
          <w:sz w:val="18"/>
          <w:szCs w:val="18"/>
        </w:rPr>
      </w:r>
      <w:r w:rsidRPr="002E038E">
        <w:rPr>
          <w:noProof/>
          <w:sz w:val="18"/>
          <w:szCs w:val="18"/>
        </w:rPr>
        <w:fldChar w:fldCharType="separate"/>
      </w:r>
      <w:r w:rsidRPr="002E038E">
        <w:rPr>
          <w:noProof/>
          <w:sz w:val="18"/>
          <w:szCs w:val="18"/>
        </w:rPr>
        <w:t>32</w:t>
      </w:r>
      <w:r w:rsidRPr="002E038E">
        <w:rPr>
          <w:noProof/>
          <w:sz w:val="18"/>
          <w:szCs w:val="18"/>
        </w:rPr>
        <w:fldChar w:fldCharType="end"/>
      </w:r>
    </w:p>
    <w:p w14:paraId="1B5E851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capacity and skills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_Toc269636347 \h </w:instrText>
      </w:r>
      <w:r w:rsidRPr="002E038E">
        <w:rPr>
          <w:noProof/>
          <w:sz w:val="18"/>
          <w:szCs w:val="18"/>
        </w:rPr>
      </w:r>
      <w:r w:rsidRPr="002E038E">
        <w:rPr>
          <w:noProof/>
          <w:sz w:val="18"/>
          <w:szCs w:val="18"/>
        </w:rPr>
        <w:fldChar w:fldCharType="separate"/>
      </w:r>
      <w:r w:rsidRPr="002E038E">
        <w:rPr>
          <w:noProof/>
          <w:sz w:val="18"/>
          <w:szCs w:val="18"/>
        </w:rPr>
        <w:t>32</w:t>
      </w:r>
      <w:r w:rsidRPr="002E038E">
        <w:rPr>
          <w:noProof/>
          <w:sz w:val="18"/>
          <w:szCs w:val="18"/>
        </w:rPr>
        <w:fldChar w:fldCharType="end"/>
      </w:r>
    </w:p>
    <w:p w14:paraId="142398D2"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manuals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_Toc269636348 \h </w:instrText>
      </w:r>
      <w:r w:rsidRPr="002E038E">
        <w:rPr>
          <w:noProof/>
          <w:sz w:val="18"/>
          <w:szCs w:val="18"/>
        </w:rPr>
      </w:r>
      <w:r w:rsidRPr="002E038E">
        <w:rPr>
          <w:noProof/>
          <w:sz w:val="18"/>
          <w:szCs w:val="18"/>
        </w:rPr>
        <w:fldChar w:fldCharType="separate"/>
      </w:r>
      <w:r w:rsidRPr="002E038E">
        <w:rPr>
          <w:noProof/>
          <w:sz w:val="18"/>
          <w:szCs w:val="18"/>
        </w:rPr>
        <w:t>33</w:t>
      </w:r>
      <w:r w:rsidRPr="002E038E">
        <w:rPr>
          <w:noProof/>
          <w:sz w:val="18"/>
          <w:szCs w:val="18"/>
        </w:rPr>
        <w:fldChar w:fldCharType="end"/>
      </w:r>
    </w:p>
    <w:p w14:paraId="34AA7A3F"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end of concession and next steps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_Toc269636349 \h </w:instrText>
      </w:r>
      <w:r w:rsidRPr="002E038E">
        <w:rPr>
          <w:noProof/>
          <w:sz w:val="18"/>
          <w:szCs w:val="18"/>
        </w:rPr>
      </w:r>
      <w:r w:rsidRPr="002E038E">
        <w:rPr>
          <w:noProof/>
          <w:sz w:val="18"/>
          <w:szCs w:val="18"/>
        </w:rPr>
        <w:fldChar w:fldCharType="separate"/>
      </w:r>
      <w:r w:rsidRPr="002E038E">
        <w:rPr>
          <w:noProof/>
          <w:sz w:val="18"/>
          <w:szCs w:val="18"/>
        </w:rPr>
        <w:t>34</w:t>
      </w:r>
      <w:r w:rsidRPr="002E038E">
        <w:rPr>
          <w:noProof/>
          <w:sz w:val="18"/>
          <w:szCs w:val="18"/>
        </w:rPr>
        <w:fldChar w:fldCharType="end"/>
      </w:r>
    </w:p>
    <w:p w14:paraId="0B208115"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4</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Further reading</w:t>
      </w:r>
      <w:r w:rsidRPr="002E038E">
        <w:rPr>
          <w:sz w:val="18"/>
          <w:szCs w:val="18"/>
        </w:rPr>
        <w:tab/>
      </w:r>
      <w:r w:rsidRPr="002E038E">
        <w:rPr>
          <w:sz w:val="18"/>
          <w:szCs w:val="18"/>
        </w:rPr>
        <w:fldChar w:fldCharType="begin"/>
      </w:r>
      <w:r w:rsidRPr="002E038E">
        <w:rPr>
          <w:sz w:val="18"/>
          <w:szCs w:val="18"/>
        </w:rPr>
        <w:instrText xml:space="preserve"> PAGEREF _Toc269636350 \h </w:instrText>
      </w:r>
      <w:r w:rsidRPr="002E038E">
        <w:rPr>
          <w:sz w:val="18"/>
          <w:szCs w:val="18"/>
        </w:rPr>
      </w:r>
      <w:r w:rsidRPr="002E038E">
        <w:rPr>
          <w:sz w:val="18"/>
          <w:szCs w:val="18"/>
        </w:rPr>
        <w:fldChar w:fldCharType="separate"/>
      </w:r>
      <w:r w:rsidRPr="002E038E">
        <w:rPr>
          <w:sz w:val="18"/>
          <w:szCs w:val="18"/>
        </w:rPr>
        <w:t>35</w:t>
      </w:r>
      <w:r w:rsidRPr="002E038E">
        <w:rPr>
          <w:sz w:val="18"/>
          <w:szCs w:val="18"/>
        </w:rPr>
        <w:fldChar w:fldCharType="end"/>
      </w:r>
    </w:p>
    <w:p w14:paraId="7904ACF6"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References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_Toc269636351 \h </w:instrText>
      </w:r>
      <w:r w:rsidRPr="002E038E">
        <w:rPr>
          <w:noProof/>
          <w:sz w:val="18"/>
          <w:szCs w:val="18"/>
        </w:rPr>
      </w:r>
      <w:r w:rsidRPr="002E038E">
        <w:rPr>
          <w:noProof/>
          <w:sz w:val="18"/>
          <w:szCs w:val="18"/>
        </w:rPr>
        <w:fldChar w:fldCharType="separate"/>
      </w:r>
      <w:r w:rsidRPr="002E038E">
        <w:rPr>
          <w:noProof/>
          <w:sz w:val="18"/>
          <w:szCs w:val="18"/>
        </w:rPr>
        <w:t>35</w:t>
      </w:r>
      <w:r w:rsidRPr="002E038E">
        <w:rPr>
          <w:noProof/>
          <w:sz w:val="18"/>
          <w:szCs w:val="18"/>
        </w:rPr>
        <w:fldChar w:fldCharType="end"/>
      </w:r>
    </w:p>
    <w:p w14:paraId="436C4B42"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Links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_Toc269636352 \h </w:instrText>
      </w:r>
      <w:r w:rsidRPr="002E038E">
        <w:rPr>
          <w:noProof/>
          <w:sz w:val="18"/>
          <w:szCs w:val="18"/>
        </w:rPr>
      </w:r>
      <w:r w:rsidRPr="002E038E">
        <w:rPr>
          <w:noProof/>
          <w:sz w:val="18"/>
          <w:szCs w:val="18"/>
        </w:rPr>
        <w:fldChar w:fldCharType="separate"/>
      </w:r>
      <w:r w:rsidRPr="002E038E">
        <w:rPr>
          <w:noProof/>
          <w:sz w:val="18"/>
          <w:szCs w:val="18"/>
        </w:rPr>
        <w:t>38</w:t>
      </w:r>
      <w:r w:rsidRPr="002E038E">
        <w:rPr>
          <w:noProof/>
          <w:sz w:val="18"/>
          <w:szCs w:val="18"/>
        </w:rPr>
        <w:fldChar w:fldCharType="end"/>
      </w:r>
    </w:p>
    <w:p w14:paraId="2C90006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1: Scoping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_Toc269636353 \h </w:instrText>
      </w:r>
      <w:r w:rsidRPr="002E038E">
        <w:rPr>
          <w:noProof/>
          <w:sz w:val="18"/>
          <w:szCs w:val="18"/>
        </w:rPr>
      </w:r>
      <w:r w:rsidRPr="002E038E">
        <w:rPr>
          <w:noProof/>
          <w:sz w:val="18"/>
          <w:szCs w:val="18"/>
        </w:rPr>
        <w:fldChar w:fldCharType="separate"/>
      </w:r>
      <w:r w:rsidRPr="002E038E">
        <w:rPr>
          <w:noProof/>
          <w:sz w:val="18"/>
          <w:szCs w:val="18"/>
        </w:rPr>
        <w:t>38</w:t>
      </w:r>
      <w:r w:rsidRPr="002E038E">
        <w:rPr>
          <w:noProof/>
          <w:sz w:val="18"/>
          <w:szCs w:val="18"/>
        </w:rPr>
        <w:fldChar w:fldCharType="end"/>
      </w:r>
    </w:p>
    <w:p w14:paraId="2B6CA964"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2: Design and feasibility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_Toc269636354 \h </w:instrText>
      </w:r>
      <w:r w:rsidRPr="002E038E">
        <w:rPr>
          <w:noProof/>
          <w:sz w:val="18"/>
          <w:szCs w:val="18"/>
        </w:rPr>
      </w:r>
      <w:r w:rsidRPr="002E038E">
        <w:rPr>
          <w:noProof/>
          <w:sz w:val="18"/>
          <w:szCs w:val="18"/>
        </w:rPr>
        <w:fldChar w:fldCharType="separate"/>
      </w:r>
      <w:r w:rsidRPr="002E038E">
        <w:rPr>
          <w:noProof/>
          <w:sz w:val="18"/>
          <w:szCs w:val="18"/>
        </w:rPr>
        <w:t>39</w:t>
      </w:r>
      <w:r w:rsidRPr="002E038E">
        <w:rPr>
          <w:noProof/>
          <w:sz w:val="18"/>
          <w:szCs w:val="18"/>
        </w:rPr>
        <w:fldChar w:fldCharType="end"/>
      </w:r>
    </w:p>
    <w:p w14:paraId="02AB34B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3: Procurement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_Toc269636355 \h </w:instrText>
      </w:r>
      <w:r w:rsidRPr="002E038E">
        <w:rPr>
          <w:noProof/>
          <w:sz w:val="18"/>
          <w:szCs w:val="18"/>
        </w:rPr>
      </w:r>
      <w:r w:rsidRPr="002E038E">
        <w:rPr>
          <w:noProof/>
          <w:sz w:val="18"/>
          <w:szCs w:val="18"/>
        </w:rPr>
        <w:fldChar w:fldCharType="separate"/>
      </w:r>
      <w:r w:rsidRPr="002E038E">
        <w:rPr>
          <w:noProof/>
          <w:sz w:val="18"/>
          <w:szCs w:val="18"/>
        </w:rPr>
        <w:t>43</w:t>
      </w:r>
      <w:r w:rsidRPr="002E038E">
        <w:rPr>
          <w:noProof/>
          <w:sz w:val="18"/>
          <w:szCs w:val="18"/>
        </w:rPr>
        <w:fldChar w:fldCharType="end"/>
      </w:r>
    </w:p>
    <w:p w14:paraId="7D127D6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4: Transaction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_Toc269636356 \h </w:instrText>
      </w:r>
      <w:r w:rsidRPr="002E038E">
        <w:rPr>
          <w:noProof/>
          <w:sz w:val="18"/>
          <w:szCs w:val="18"/>
        </w:rPr>
      </w:r>
      <w:r w:rsidRPr="002E038E">
        <w:rPr>
          <w:noProof/>
          <w:sz w:val="18"/>
          <w:szCs w:val="18"/>
        </w:rPr>
        <w:fldChar w:fldCharType="separate"/>
      </w:r>
      <w:r w:rsidRPr="002E038E">
        <w:rPr>
          <w:noProof/>
          <w:sz w:val="18"/>
          <w:szCs w:val="18"/>
        </w:rPr>
        <w:t>43</w:t>
      </w:r>
      <w:r w:rsidRPr="002E038E">
        <w:rPr>
          <w:noProof/>
          <w:sz w:val="18"/>
          <w:szCs w:val="18"/>
        </w:rPr>
        <w:fldChar w:fldCharType="end"/>
      </w:r>
    </w:p>
    <w:p w14:paraId="49622E0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5: Contract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_Toc269636357 \h </w:instrText>
      </w:r>
      <w:r w:rsidRPr="002E038E">
        <w:rPr>
          <w:noProof/>
          <w:sz w:val="18"/>
          <w:szCs w:val="18"/>
        </w:rPr>
      </w:r>
      <w:r w:rsidRPr="002E038E">
        <w:rPr>
          <w:noProof/>
          <w:sz w:val="18"/>
          <w:szCs w:val="18"/>
        </w:rPr>
        <w:fldChar w:fldCharType="separate"/>
      </w:r>
      <w:r w:rsidRPr="002E038E">
        <w:rPr>
          <w:noProof/>
          <w:sz w:val="18"/>
          <w:szCs w:val="18"/>
        </w:rPr>
        <w:t>44</w:t>
      </w:r>
      <w:r w:rsidRPr="002E038E">
        <w:rPr>
          <w:noProof/>
          <w:sz w:val="18"/>
          <w:szCs w:val="18"/>
        </w:rPr>
        <w:fldChar w:fldCharType="end"/>
      </w:r>
    </w:p>
    <w:p w14:paraId="568D2101"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Templates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_Toc269636358 \h </w:instrText>
      </w:r>
      <w:r w:rsidRPr="002E038E">
        <w:rPr>
          <w:noProof/>
          <w:sz w:val="18"/>
          <w:szCs w:val="18"/>
        </w:rPr>
      </w:r>
      <w:r w:rsidRPr="002E038E">
        <w:rPr>
          <w:noProof/>
          <w:sz w:val="18"/>
          <w:szCs w:val="18"/>
        </w:rPr>
        <w:fldChar w:fldCharType="separate"/>
      </w:r>
      <w:r w:rsidRPr="002E038E">
        <w:rPr>
          <w:noProof/>
          <w:sz w:val="18"/>
          <w:szCs w:val="18"/>
        </w:rPr>
        <w:t>45</w:t>
      </w:r>
      <w:r w:rsidRPr="002E038E">
        <w:rPr>
          <w:noProof/>
          <w:sz w:val="18"/>
          <w:szCs w:val="18"/>
        </w:rPr>
        <w:fldChar w:fldCharType="end"/>
      </w:r>
    </w:p>
    <w:p w14:paraId="7F38085D"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SADC country information</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_Toc269636359 \h </w:instrText>
      </w:r>
      <w:r w:rsidRPr="002E038E">
        <w:rPr>
          <w:noProof/>
          <w:sz w:val="18"/>
          <w:szCs w:val="18"/>
        </w:rPr>
      </w:r>
      <w:r w:rsidRPr="002E038E">
        <w:rPr>
          <w:noProof/>
          <w:sz w:val="18"/>
          <w:szCs w:val="18"/>
        </w:rPr>
        <w:fldChar w:fldCharType="separate"/>
      </w:r>
      <w:r w:rsidRPr="002E038E">
        <w:rPr>
          <w:noProof/>
          <w:sz w:val="18"/>
          <w:szCs w:val="18"/>
        </w:rPr>
        <w:t>47</w:t>
      </w:r>
      <w:r w:rsidRPr="002E038E">
        <w:rPr>
          <w:noProof/>
          <w:sz w:val="18"/>
          <w:szCs w:val="18"/>
        </w:rPr>
        <w:fldChar w:fldCharType="end"/>
      </w:r>
    </w:p>
    <w:p w14:paraId="23A5D24C"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Angola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_Toc269636360 \h </w:instrText>
      </w:r>
      <w:r w:rsidRPr="002E038E">
        <w:rPr>
          <w:noProof/>
          <w:sz w:val="18"/>
          <w:szCs w:val="18"/>
        </w:rPr>
      </w:r>
      <w:r w:rsidRPr="002E038E">
        <w:rPr>
          <w:noProof/>
          <w:sz w:val="18"/>
          <w:szCs w:val="18"/>
        </w:rPr>
        <w:fldChar w:fldCharType="separate"/>
      </w:r>
      <w:r w:rsidRPr="002E038E">
        <w:rPr>
          <w:noProof/>
          <w:sz w:val="18"/>
          <w:szCs w:val="18"/>
        </w:rPr>
        <w:t>47</w:t>
      </w:r>
      <w:r w:rsidRPr="002E038E">
        <w:rPr>
          <w:noProof/>
          <w:sz w:val="18"/>
          <w:szCs w:val="18"/>
        </w:rPr>
        <w:fldChar w:fldCharType="end"/>
      </w:r>
    </w:p>
    <w:p w14:paraId="2B81607D"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Botswana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_Toc269636361 \h </w:instrText>
      </w:r>
      <w:r w:rsidRPr="002E038E">
        <w:rPr>
          <w:noProof/>
          <w:sz w:val="18"/>
          <w:szCs w:val="18"/>
        </w:rPr>
      </w:r>
      <w:r w:rsidRPr="002E038E">
        <w:rPr>
          <w:noProof/>
          <w:sz w:val="18"/>
          <w:szCs w:val="18"/>
        </w:rPr>
        <w:fldChar w:fldCharType="separate"/>
      </w:r>
      <w:r w:rsidRPr="002E038E">
        <w:rPr>
          <w:noProof/>
          <w:sz w:val="18"/>
          <w:szCs w:val="18"/>
        </w:rPr>
        <w:t>48</w:t>
      </w:r>
      <w:r w:rsidRPr="002E038E">
        <w:rPr>
          <w:noProof/>
          <w:sz w:val="18"/>
          <w:szCs w:val="18"/>
        </w:rPr>
        <w:fldChar w:fldCharType="end"/>
      </w:r>
    </w:p>
    <w:p w14:paraId="1D5F5BB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Democratic republic of congo</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_Toc269636362 \h </w:instrText>
      </w:r>
      <w:r w:rsidRPr="002E038E">
        <w:rPr>
          <w:noProof/>
          <w:sz w:val="18"/>
          <w:szCs w:val="18"/>
        </w:rPr>
      </w:r>
      <w:r w:rsidRPr="002E038E">
        <w:rPr>
          <w:noProof/>
          <w:sz w:val="18"/>
          <w:szCs w:val="18"/>
        </w:rPr>
        <w:fldChar w:fldCharType="separate"/>
      </w:r>
      <w:r w:rsidRPr="002E038E">
        <w:rPr>
          <w:noProof/>
          <w:sz w:val="18"/>
          <w:szCs w:val="18"/>
        </w:rPr>
        <w:t>50</w:t>
      </w:r>
      <w:r w:rsidRPr="002E038E">
        <w:rPr>
          <w:noProof/>
          <w:sz w:val="18"/>
          <w:szCs w:val="18"/>
        </w:rPr>
        <w:fldChar w:fldCharType="end"/>
      </w:r>
    </w:p>
    <w:p w14:paraId="6E4DB605"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Lesotho</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_Toc269636363 \h </w:instrText>
      </w:r>
      <w:r w:rsidRPr="002E038E">
        <w:rPr>
          <w:noProof/>
          <w:sz w:val="18"/>
          <w:szCs w:val="18"/>
        </w:rPr>
      </w:r>
      <w:r w:rsidRPr="002E038E">
        <w:rPr>
          <w:noProof/>
          <w:sz w:val="18"/>
          <w:szCs w:val="18"/>
        </w:rPr>
        <w:fldChar w:fldCharType="separate"/>
      </w:r>
      <w:r w:rsidRPr="002E038E">
        <w:rPr>
          <w:noProof/>
          <w:sz w:val="18"/>
          <w:szCs w:val="18"/>
        </w:rPr>
        <w:t>51</w:t>
      </w:r>
      <w:r w:rsidRPr="002E038E">
        <w:rPr>
          <w:noProof/>
          <w:sz w:val="18"/>
          <w:szCs w:val="18"/>
        </w:rPr>
        <w:fldChar w:fldCharType="end"/>
      </w:r>
    </w:p>
    <w:p w14:paraId="364CCF6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lastRenderedPageBreak/>
        <w:t>4.4.5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Malawi</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_Toc269636364 \h </w:instrText>
      </w:r>
      <w:r w:rsidRPr="002E038E">
        <w:rPr>
          <w:noProof/>
          <w:sz w:val="18"/>
          <w:szCs w:val="18"/>
        </w:rPr>
      </w:r>
      <w:r w:rsidRPr="002E038E">
        <w:rPr>
          <w:noProof/>
          <w:sz w:val="18"/>
          <w:szCs w:val="18"/>
        </w:rPr>
        <w:fldChar w:fldCharType="separate"/>
      </w:r>
      <w:r w:rsidRPr="002E038E">
        <w:rPr>
          <w:noProof/>
          <w:sz w:val="18"/>
          <w:szCs w:val="18"/>
        </w:rPr>
        <w:t>53</w:t>
      </w:r>
      <w:r w:rsidRPr="002E038E">
        <w:rPr>
          <w:noProof/>
          <w:sz w:val="18"/>
          <w:szCs w:val="18"/>
        </w:rPr>
        <w:fldChar w:fldCharType="end"/>
      </w:r>
    </w:p>
    <w:p w14:paraId="3BBDB0B5"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4.4.6</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Mauritius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_Toc269636365 \h </w:instrText>
      </w:r>
      <w:r w:rsidRPr="002E038E">
        <w:rPr>
          <w:noProof/>
          <w:sz w:val="18"/>
          <w:szCs w:val="18"/>
        </w:rPr>
      </w:r>
      <w:r w:rsidRPr="002E038E">
        <w:rPr>
          <w:noProof/>
          <w:sz w:val="18"/>
          <w:szCs w:val="18"/>
        </w:rPr>
        <w:fldChar w:fldCharType="separate"/>
      </w:r>
      <w:r w:rsidRPr="002E038E">
        <w:rPr>
          <w:noProof/>
          <w:sz w:val="18"/>
          <w:szCs w:val="18"/>
        </w:rPr>
        <w:t>54</w:t>
      </w:r>
      <w:r w:rsidRPr="002E038E">
        <w:rPr>
          <w:noProof/>
          <w:sz w:val="18"/>
          <w:szCs w:val="18"/>
        </w:rPr>
        <w:fldChar w:fldCharType="end"/>
      </w:r>
    </w:p>
    <w:p w14:paraId="7730E71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4.4.7</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Mozambique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_Toc269636366 \h </w:instrText>
      </w:r>
      <w:r w:rsidRPr="002E038E">
        <w:rPr>
          <w:noProof/>
          <w:sz w:val="18"/>
          <w:szCs w:val="18"/>
        </w:rPr>
      </w:r>
      <w:r w:rsidRPr="002E038E">
        <w:rPr>
          <w:noProof/>
          <w:sz w:val="18"/>
          <w:szCs w:val="18"/>
        </w:rPr>
        <w:fldChar w:fldCharType="separate"/>
      </w:r>
      <w:r w:rsidRPr="002E038E">
        <w:rPr>
          <w:noProof/>
          <w:sz w:val="18"/>
          <w:szCs w:val="18"/>
        </w:rPr>
        <w:t>56</w:t>
      </w:r>
      <w:r w:rsidRPr="002E038E">
        <w:rPr>
          <w:noProof/>
          <w:sz w:val="18"/>
          <w:szCs w:val="18"/>
        </w:rPr>
        <w:fldChar w:fldCharType="end"/>
      </w:r>
    </w:p>
    <w:p w14:paraId="2A1F622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4.4.8</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Namibia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_Toc269636367 \h </w:instrText>
      </w:r>
      <w:r w:rsidRPr="002E038E">
        <w:rPr>
          <w:noProof/>
          <w:sz w:val="18"/>
          <w:szCs w:val="18"/>
        </w:rPr>
      </w:r>
      <w:r w:rsidRPr="002E038E">
        <w:rPr>
          <w:noProof/>
          <w:sz w:val="18"/>
          <w:szCs w:val="18"/>
        </w:rPr>
        <w:fldChar w:fldCharType="separate"/>
      </w:r>
      <w:r w:rsidRPr="002E038E">
        <w:rPr>
          <w:noProof/>
          <w:sz w:val="18"/>
          <w:szCs w:val="18"/>
        </w:rPr>
        <w:t>58</w:t>
      </w:r>
      <w:r w:rsidRPr="002E038E">
        <w:rPr>
          <w:noProof/>
          <w:sz w:val="18"/>
          <w:szCs w:val="18"/>
        </w:rPr>
        <w:fldChar w:fldCharType="end"/>
      </w:r>
    </w:p>
    <w:p w14:paraId="110586E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4.4.9</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Seychelles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_Toc269636368 \h </w:instrText>
      </w:r>
      <w:r w:rsidRPr="002E038E">
        <w:rPr>
          <w:noProof/>
          <w:sz w:val="18"/>
          <w:szCs w:val="18"/>
        </w:rPr>
      </w:r>
      <w:r w:rsidRPr="002E038E">
        <w:rPr>
          <w:noProof/>
          <w:sz w:val="18"/>
          <w:szCs w:val="18"/>
        </w:rPr>
        <w:fldChar w:fldCharType="separate"/>
      </w:r>
      <w:r w:rsidRPr="002E038E">
        <w:rPr>
          <w:noProof/>
          <w:sz w:val="18"/>
          <w:szCs w:val="18"/>
        </w:rPr>
        <w:t>59</w:t>
      </w:r>
      <w:r w:rsidRPr="002E038E">
        <w:rPr>
          <w:noProof/>
          <w:sz w:val="18"/>
          <w:szCs w:val="18"/>
        </w:rPr>
        <w:fldChar w:fldCharType="end"/>
      </w:r>
    </w:p>
    <w:p w14:paraId="1C1514C0"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4.4.10</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South africa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_Toc269636369 \h </w:instrText>
      </w:r>
      <w:r w:rsidRPr="002E038E">
        <w:rPr>
          <w:noProof/>
          <w:sz w:val="18"/>
          <w:szCs w:val="18"/>
        </w:rPr>
      </w:r>
      <w:r w:rsidRPr="002E038E">
        <w:rPr>
          <w:noProof/>
          <w:sz w:val="18"/>
          <w:szCs w:val="18"/>
        </w:rPr>
        <w:fldChar w:fldCharType="separate"/>
      </w:r>
      <w:r w:rsidRPr="002E038E">
        <w:rPr>
          <w:noProof/>
          <w:sz w:val="18"/>
          <w:szCs w:val="18"/>
        </w:rPr>
        <w:t>61</w:t>
      </w:r>
      <w:r w:rsidRPr="002E038E">
        <w:rPr>
          <w:noProof/>
          <w:sz w:val="18"/>
          <w:szCs w:val="18"/>
        </w:rPr>
        <w:fldChar w:fldCharType="end"/>
      </w:r>
    </w:p>
    <w:p w14:paraId="6FC9D281"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swaziland</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_Toc269636370 \h </w:instrText>
      </w:r>
      <w:r w:rsidRPr="002E038E">
        <w:rPr>
          <w:noProof/>
          <w:sz w:val="18"/>
          <w:szCs w:val="18"/>
        </w:rPr>
      </w:r>
      <w:r w:rsidRPr="002E038E">
        <w:rPr>
          <w:noProof/>
          <w:sz w:val="18"/>
          <w:szCs w:val="18"/>
        </w:rPr>
        <w:fldChar w:fldCharType="separate"/>
      </w:r>
      <w:r w:rsidRPr="002E038E">
        <w:rPr>
          <w:noProof/>
          <w:sz w:val="18"/>
          <w:szCs w:val="18"/>
        </w:rPr>
        <w:t>63</w:t>
      </w:r>
      <w:r w:rsidRPr="002E038E">
        <w:rPr>
          <w:noProof/>
          <w:sz w:val="18"/>
          <w:szCs w:val="18"/>
        </w:rPr>
        <w:fldChar w:fldCharType="end"/>
      </w:r>
    </w:p>
    <w:p w14:paraId="2C9D8704"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Tanzania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_Toc269636371 \h </w:instrText>
      </w:r>
      <w:r w:rsidRPr="002E038E">
        <w:rPr>
          <w:noProof/>
          <w:sz w:val="18"/>
          <w:szCs w:val="18"/>
        </w:rPr>
      </w:r>
      <w:r w:rsidRPr="002E038E">
        <w:rPr>
          <w:noProof/>
          <w:sz w:val="18"/>
          <w:szCs w:val="18"/>
        </w:rPr>
        <w:fldChar w:fldCharType="separate"/>
      </w:r>
      <w:r w:rsidRPr="002E038E">
        <w:rPr>
          <w:noProof/>
          <w:sz w:val="18"/>
          <w:szCs w:val="18"/>
        </w:rPr>
        <w:t>64</w:t>
      </w:r>
      <w:r w:rsidRPr="002E038E">
        <w:rPr>
          <w:noProof/>
          <w:sz w:val="18"/>
          <w:szCs w:val="18"/>
        </w:rPr>
        <w:fldChar w:fldCharType="end"/>
      </w:r>
    </w:p>
    <w:p w14:paraId="32516A83"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Zambia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_Toc269636372 \h </w:instrText>
      </w:r>
      <w:r w:rsidRPr="002E038E">
        <w:rPr>
          <w:noProof/>
          <w:sz w:val="18"/>
          <w:szCs w:val="18"/>
        </w:rPr>
      </w:r>
      <w:r w:rsidRPr="002E038E">
        <w:rPr>
          <w:noProof/>
          <w:sz w:val="18"/>
          <w:szCs w:val="18"/>
        </w:rPr>
        <w:fldChar w:fldCharType="separate"/>
      </w:r>
      <w:r w:rsidRPr="002E038E">
        <w:rPr>
          <w:noProof/>
          <w:sz w:val="18"/>
          <w:szCs w:val="18"/>
        </w:rPr>
        <w:t>65</w:t>
      </w:r>
      <w:r w:rsidRPr="002E038E">
        <w:rPr>
          <w:noProof/>
          <w:sz w:val="18"/>
          <w:szCs w:val="18"/>
        </w:rPr>
        <w:fldChar w:fldCharType="end"/>
      </w:r>
    </w:p>
    <w:p w14:paraId="786FF70F"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zimbabwe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_Toc269636373 \h </w:instrText>
      </w:r>
      <w:r w:rsidRPr="002E038E">
        <w:rPr>
          <w:noProof/>
          <w:sz w:val="18"/>
          <w:szCs w:val="18"/>
        </w:rPr>
      </w:r>
      <w:r w:rsidRPr="002E038E">
        <w:rPr>
          <w:noProof/>
          <w:sz w:val="18"/>
          <w:szCs w:val="18"/>
        </w:rPr>
        <w:fldChar w:fldCharType="separate"/>
      </w:r>
      <w:r w:rsidRPr="002E038E">
        <w:rPr>
          <w:noProof/>
          <w:sz w:val="18"/>
          <w:szCs w:val="18"/>
        </w:rPr>
        <w:t>68</w:t>
      </w:r>
      <w:r w:rsidRPr="002E038E">
        <w:rPr>
          <w:noProof/>
          <w:sz w:val="18"/>
          <w:szCs w:val="18"/>
        </w:rPr>
        <w:fldChar w:fldCharType="end"/>
      </w:r>
    </w:p>
    <w:p w14:paraId="7A65E19F"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4.5</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Guideline development process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_Toc269636374 \h </w:instrText>
      </w:r>
      <w:r w:rsidRPr="002E038E">
        <w:rPr>
          <w:noProof/>
          <w:sz w:val="18"/>
          <w:szCs w:val="18"/>
        </w:rPr>
      </w:r>
      <w:r w:rsidRPr="002E038E">
        <w:rPr>
          <w:noProof/>
          <w:sz w:val="18"/>
          <w:szCs w:val="18"/>
        </w:rPr>
        <w:fldChar w:fldCharType="separate"/>
      </w:r>
      <w:r w:rsidRPr="002E038E">
        <w:rPr>
          <w:noProof/>
          <w:sz w:val="18"/>
          <w:szCs w:val="18"/>
        </w:rPr>
        <w:t>71</w:t>
      </w:r>
      <w:r w:rsidRPr="002E038E">
        <w:rPr>
          <w:noProof/>
          <w:sz w:val="18"/>
          <w:szCs w:val="18"/>
        </w:rPr>
        <w:fldChar w:fldCharType="end"/>
      </w:r>
    </w:p>
    <w:p w14:paraId="0B933526" w14:textId="77777777" w:rsidR="00901602" w:rsidRPr="006311F5" w:rsidRDefault="00995D2D" w:rsidP="00C5086D">
      <w:pPr>
        <w:spacing w:before="0" w:after="0" w:line="240" w:lineRule="auto"/>
        <w:rPr>
          <w:rFonts w:ascii="Garamond" w:hAnsi="Garamond"/>
          <w:sz w:val="20"/>
          <w:szCs w:val="20"/>
        </w:rPr>
      </w:pPr>
      <w:r w:rsidRPr="002E038E">
        <w:rPr>
          <w:rFonts w:ascii="Garamond" w:hAnsi="Garamond"/>
          <w:sz w:val="18"/>
          <w:szCs w:val="18"/>
        </w:rPr>
        <w:fldChar w:fldCharType="end"/>
      </w:r>
    </w:p>
    <w:p w14:paraId="047BD208" w14:textId="23911910" w:rsidR="00785625"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Figures</w:t>
      </w:r>
    </w:p>
    <w:p w14:paraId="3B5F1B20"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"Figure" </w:instrText>
      </w:r>
      <w:r w:rsidRPr="002E038E">
        <w:rPr>
          <w:sz w:val="18"/>
          <w:szCs w:val="18"/>
        </w:rPr>
        <w:fldChar w:fldCharType="separate"/>
      </w:r>
      <w:r w:rsidR="00F63FEC" w:rsidRPr="002E038E">
        <w:rPr>
          <w:sz w:val="18"/>
          <w:szCs w:val="18"/>
        </w:rPr>
        <w:t>Figure 1: Concession agreement outline</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_Toc269636030 \h </w:instrText>
      </w:r>
      <w:r w:rsidR="00F63FEC" w:rsidRPr="002E038E">
        <w:rPr>
          <w:sz w:val="18"/>
          <w:szCs w:val="18"/>
        </w:rPr>
      </w:r>
      <w:r w:rsidR="00F63FEC" w:rsidRPr="002E038E">
        <w:rPr>
          <w:sz w:val="18"/>
          <w:szCs w:val="18"/>
        </w:rPr>
        <w:fldChar w:fldCharType="separate"/>
      </w:r>
      <w:r w:rsidR="00F63FEC" w:rsidRPr="002E038E">
        <w:rPr>
          <w:sz w:val="18"/>
          <w:szCs w:val="18"/>
        </w:rPr>
        <w:t>25</w:t>
      </w:r>
      <w:r w:rsidR="00F63FEC" w:rsidRPr="002E038E">
        <w:rPr>
          <w:sz w:val="18"/>
          <w:szCs w:val="18"/>
        </w:rPr>
        <w:fldChar w:fldCharType="end"/>
      </w:r>
    </w:p>
    <w:p w14:paraId="08FE6C65" w14:textId="77777777" w:rsidR="00B0673B"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107B4166" w14:textId="0B120119" w:rsidR="00B0673B"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Tables</w:t>
      </w:r>
    </w:p>
    <w:p w14:paraId="60472D9C"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"Table" </w:instrText>
      </w:r>
      <w:r w:rsidRPr="002E038E">
        <w:rPr>
          <w:sz w:val="18"/>
          <w:szCs w:val="18"/>
        </w:rPr>
        <w:fldChar w:fldCharType="separate"/>
      </w:r>
      <w:r w:rsidR="00F63FEC" w:rsidRPr="002E038E">
        <w:rPr>
          <w:sz w:val="18"/>
          <w:szCs w:val="18"/>
        </w:rPr>
        <w:t>Table 1: Appropriate tourism activities and products in SADC TFCAs</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_Toc269636031 \h </w:instrText>
      </w:r>
      <w:r w:rsidR="00F63FEC" w:rsidRPr="002E038E">
        <w:rPr>
          <w:sz w:val="18"/>
          <w:szCs w:val="18"/>
        </w:rPr>
      </w:r>
      <w:r w:rsidR="00F63FEC" w:rsidRPr="002E038E">
        <w:rPr>
          <w:sz w:val="18"/>
          <w:szCs w:val="18"/>
        </w:rPr>
        <w:fldChar w:fldCharType="separate"/>
      </w:r>
      <w:r w:rsidR="00F63FEC" w:rsidRPr="002E038E">
        <w:rPr>
          <w:sz w:val="18"/>
          <w:szCs w:val="18"/>
        </w:rPr>
        <w:t>13</w:t>
      </w:r>
      <w:r w:rsidR="00F63FEC" w:rsidRPr="002E038E">
        <w:rPr>
          <w:sz w:val="18"/>
          <w:szCs w:val="18"/>
        </w:rPr>
        <w:fldChar w:fldCharType="end"/>
      </w:r>
    </w:p>
    <w:p w14:paraId="25ADB3A9"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2: Tourism activities and products in SADC TFCA</w:t>
      </w:r>
      <w:r w:rsidRPr="002E038E">
        <w:rPr>
          <w:sz w:val="18"/>
          <w:szCs w:val="18"/>
        </w:rPr>
        <w:tab/>
      </w:r>
      <w:r w:rsidRPr="002E038E">
        <w:rPr>
          <w:sz w:val="18"/>
          <w:szCs w:val="18"/>
        </w:rPr>
        <w:fldChar w:fldCharType="begin"/>
      </w:r>
      <w:r w:rsidRPr="002E038E">
        <w:rPr>
          <w:sz w:val="18"/>
          <w:szCs w:val="18"/>
        </w:rPr>
        <w:instrText xml:space="preserve"> PAGEREF _Toc269636032 \h </w:instrText>
      </w:r>
      <w:r w:rsidRPr="002E038E">
        <w:rPr>
          <w:sz w:val="18"/>
          <w:szCs w:val="18"/>
        </w:rPr>
      </w:r>
      <w:r w:rsidRPr="002E038E">
        <w:rPr>
          <w:sz w:val="18"/>
          <w:szCs w:val="18"/>
        </w:rPr>
        <w:fldChar w:fldCharType="separate"/>
      </w:r>
      <w:r w:rsidRPr="002E038E">
        <w:rPr>
          <w:sz w:val="18"/>
          <w:szCs w:val="18"/>
        </w:rPr>
        <w:t>14</w:t>
      </w:r>
      <w:r w:rsidRPr="002E038E">
        <w:rPr>
          <w:sz w:val="18"/>
          <w:szCs w:val="18"/>
        </w:rPr>
        <w:fldChar w:fldCharType="end"/>
      </w:r>
    </w:p>
    <w:p w14:paraId="13D20E3F"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3: Stakeholders and their role in tourism concessions</w:t>
      </w:r>
      <w:r w:rsidRPr="002E038E">
        <w:rPr>
          <w:sz w:val="18"/>
          <w:szCs w:val="18"/>
        </w:rPr>
        <w:tab/>
      </w:r>
      <w:r w:rsidRPr="002E038E">
        <w:rPr>
          <w:sz w:val="18"/>
          <w:szCs w:val="18"/>
        </w:rPr>
        <w:fldChar w:fldCharType="begin"/>
      </w:r>
      <w:r w:rsidRPr="002E038E">
        <w:rPr>
          <w:sz w:val="18"/>
          <w:szCs w:val="18"/>
        </w:rPr>
        <w:instrText xml:space="preserve"> PAGEREF _Toc269636033 \h </w:instrText>
      </w:r>
      <w:r w:rsidRPr="002E038E">
        <w:rPr>
          <w:sz w:val="18"/>
          <w:szCs w:val="18"/>
        </w:rPr>
      </w:r>
      <w:r w:rsidRPr="002E038E">
        <w:rPr>
          <w:sz w:val="18"/>
          <w:szCs w:val="18"/>
        </w:rPr>
        <w:fldChar w:fldCharType="separate"/>
      </w:r>
      <w:r w:rsidRPr="002E038E">
        <w:rPr>
          <w:sz w:val="18"/>
          <w:szCs w:val="18"/>
        </w:rPr>
        <w:t>18</w:t>
      </w:r>
      <w:r w:rsidRPr="002E038E">
        <w:rPr>
          <w:sz w:val="18"/>
          <w:szCs w:val="18"/>
        </w:rPr>
        <w:fldChar w:fldCharType="end"/>
      </w:r>
    </w:p>
    <w:p w14:paraId="7C795509"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4: Tourism attractions and examples in SADC TFCAs</w:t>
      </w:r>
      <w:r w:rsidRPr="002E038E">
        <w:rPr>
          <w:sz w:val="18"/>
          <w:szCs w:val="18"/>
        </w:rPr>
        <w:tab/>
      </w:r>
      <w:r w:rsidRPr="002E038E">
        <w:rPr>
          <w:sz w:val="18"/>
          <w:szCs w:val="18"/>
        </w:rPr>
        <w:fldChar w:fldCharType="begin"/>
      </w:r>
      <w:r w:rsidRPr="002E038E">
        <w:rPr>
          <w:sz w:val="18"/>
          <w:szCs w:val="18"/>
        </w:rPr>
        <w:instrText xml:space="preserve"> PAGEREF _Toc269636034 \h </w:instrText>
      </w:r>
      <w:r w:rsidRPr="002E038E">
        <w:rPr>
          <w:sz w:val="18"/>
          <w:szCs w:val="18"/>
        </w:rPr>
      </w:r>
      <w:r w:rsidRPr="002E038E">
        <w:rPr>
          <w:sz w:val="18"/>
          <w:szCs w:val="18"/>
        </w:rPr>
        <w:fldChar w:fldCharType="separate"/>
      </w:r>
      <w:r w:rsidRPr="002E038E">
        <w:rPr>
          <w:sz w:val="18"/>
          <w:szCs w:val="18"/>
        </w:rPr>
        <w:t>19</w:t>
      </w:r>
      <w:r w:rsidRPr="002E038E">
        <w:rPr>
          <w:sz w:val="18"/>
          <w:szCs w:val="18"/>
        </w:rPr>
        <w:fldChar w:fldCharType="end"/>
      </w:r>
    </w:p>
    <w:p w14:paraId="63889D93" w14:textId="77777777" w:rsidR="00B0673B"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4CC0D6C0" w14:textId="1CFB6635" w:rsidR="00B0673B"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Boxes</w:t>
      </w:r>
    </w:p>
    <w:p w14:paraId="0A17BDE8"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"Box" </w:instrText>
      </w:r>
      <w:r w:rsidRPr="002E038E">
        <w:rPr>
          <w:sz w:val="18"/>
          <w:szCs w:val="18"/>
        </w:rPr>
        <w:fldChar w:fldCharType="separate"/>
      </w:r>
      <w:r w:rsidR="00F63FEC" w:rsidRPr="002E038E">
        <w:rPr>
          <w:sz w:val="18"/>
          <w:szCs w:val="18"/>
        </w:rPr>
        <w:t>Box 1: Key definitions for these guidelines</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_Toc269636035 \h </w:instrText>
      </w:r>
      <w:r w:rsidR="00F63FEC" w:rsidRPr="002E038E">
        <w:rPr>
          <w:sz w:val="18"/>
          <w:szCs w:val="18"/>
        </w:rPr>
      </w:r>
      <w:r w:rsidR="00F63FEC" w:rsidRPr="002E038E">
        <w:rPr>
          <w:sz w:val="18"/>
          <w:szCs w:val="18"/>
        </w:rPr>
        <w:fldChar w:fldCharType="separate"/>
      </w:r>
      <w:r w:rsidR="00F63FEC" w:rsidRPr="002E038E">
        <w:rPr>
          <w:sz w:val="18"/>
          <w:szCs w:val="18"/>
        </w:rPr>
        <w:t>5</w:t>
      </w:r>
      <w:r w:rsidR="00F63FEC" w:rsidRPr="002E038E">
        <w:rPr>
          <w:sz w:val="18"/>
          <w:szCs w:val="18"/>
        </w:rPr>
        <w:fldChar w:fldCharType="end"/>
      </w:r>
    </w:p>
    <w:p w14:paraId="4BDD3463"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2: Examples of legal frameworks for tourism concessions: Namibia and South Africa</w:t>
      </w:r>
      <w:r w:rsidRPr="002E038E">
        <w:rPr>
          <w:sz w:val="18"/>
          <w:szCs w:val="18"/>
        </w:rPr>
        <w:tab/>
      </w:r>
      <w:r w:rsidRPr="002E038E">
        <w:rPr>
          <w:sz w:val="18"/>
          <w:szCs w:val="18"/>
        </w:rPr>
        <w:fldChar w:fldCharType="begin"/>
      </w:r>
      <w:r w:rsidRPr="002E038E">
        <w:rPr>
          <w:sz w:val="18"/>
          <w:szCs w:val="18"/>
        </w:rPr>
        <w:instrText xml:space="preserve"> PAGEREF _Toc269636036 \h </w:instrText>
      </w:r>
      <w:r w:rsidRPr="002E038E">
        <w:rPr>
          <w:sz w:val="18"/>
          <w:szCs w:val="18"/>
        </w:rPr>
      </w:r>
      <w:r w:rsidRPr="002E038E">
        <w:rPr>
          <w:sz w:val="18"/>
          <w:szCs w:val="18"/>
        </w:rPr>
        <w:fldChar w:fldCharType="separate"/>
      </w:r>
      <w:r w:rsidRPr="002E038E">
        <w:rPr>
          <w:sz w:val="18"/>
          <w:szCs w:val="18"/>
        </w:rPr>
        <w:t>11</w:t>
      </w:r>
      <w:r w:rsidRPr="002E038E">
        <w:rPr>
          <w:sz w:val="18"/>
          <w:szCs w:val="18"/>
        </w:rPr>
        <w:fldChar w:fldCharType="end"/>
      </w:r>
    </w:p>
    <w:p w14:paraId="002FA245"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3: Examples of transboundary event incubation: Desert Knights</w:t>
      </w:r>
      <w:r w:rsidRPr="002E038E">
        <w:rPr>
          <w:sz w:val="18"/>
          <w:szCs w:val="18"/>
        </w:rPr>
        <w:tab/>
      </w:r>
      <w:r w:rsidRPr="002E038E">
        <w:rPr>
          <w:sz w:val="18"/>
          <w:szCs w:val="18"/>
        </w:rPr>
        <w:fldChar w:fldCharType="begin"/>
      </w:r>
      <w:r w:rsidRPr="002E038E">
        <w:rPr>
          <w:sz w:val="18"/>
          <w:szCs w:val="18"/>
        </w:rPr>
        <w:instrText xml:space="preserve"> PAGEREF _Toc269636037 \h </w:instrText>
      </w:r>
      <w:r w:rsidRPr="002E038E">
        <w:rPr>
          <w:sz w:val="18"/>
          <w:szCs w:val="18"/>
        </w:rPr>
      </w:r>
      <w:r w:rsidRPr="002E038E">
        <w:rPr>
          <w:sz w:val="18"/>
          <w:szCs w:val="18"/>
        </w:rPr>
        <w:fldChar w:fldCharType="separate"/>
      </w:r>
      <w:r w:rsidRPr="002E038E">
        <w:rPr>
          <w:sz w:val="18"/>
          <w:szCs w:val="18"/>
        </w:rPr>
        <w:t>14</w:t>
      </w:r>
      <w:r w:rsidRPr="002E038E">
        <w:rPr>
          <w:sz w:val="18"/>
          <w:szCs w:val="18"/>
        </w:rPr>
        <w:fldChar w:fldCharType="end"/>
      </w:r>
    </w:p>
    <w:p w14:paraId="3E70DE8C"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4: Chemucane Lodge: a joint-venture concession in the Maputo Special Reserve, Lubombo TFCA</w:t>
      </w:r>
      <w:r w:rsidRPr="002E038E">
        <w:rPr>
          <w:sz w:val="18"/>
          <w:szCs w:val="18"/>
        </w:rPr>
        <w:tab/>
      </w:r>
      <w:r w:rsidRPr="002E038E">
        <w:rPr>
          <w:sz w:val="18"/>
          <w:szCs w:val="18"/>
        </w:rPr>
        <w:fldChar w:fldCharType="begin"/>
      </w:r>
      <w:r w:rsidRPr="002E038E">
        <w:rPr>
          <w:sz w:val="18"/>
          <w:szCs w:val="18"/>
        </w:rPr>
        <w:instrText xml:space="preserve"> PAGEREF _Toc269636038 \h </w:instrText>
      </w:r>
      <w:r w:rsidRPr="002E038E">
        <w:rPr>
          <w:sz w:val="18"/>
          <w:szCs w:val="18"/>
        </w:rPr>
      </w:r>
      <w:r w:rsidRPr="002E038E">
        <w:rPr>
          <w:sz w:val="18"/>
          <w:szCs w:val="18"/>
        </w:rPr>
        <w:fldChar w:fldCharType="separate"/>
      </w:r>
      <w:r w:rsidRPr="002E038E">
        <w:rPr>
          <w:sz w:val="18"/>
          <w:szCs w:val="18"/>
        </w:rPr>
        <w:t>16</w:t>
      </w:r>
      <w:r w:rsidRPr="002E038E">
        <w:rPr>
          <w:sz w:val="18"/>
          <w:szCs w:val="18"/>
        </w:rPr>
        <w:fldChar w:fldCharType="end"/>
      </w:r>
    </w:p>
    <w:p w14:paraId="0B168485"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5: Enhancing development impacts through concessioning in South Africa</w:t>
      </w:r>
      <w:r w:rsidRPr="002E038E">
        <w:rPr>
          <w:sz w:val="18"/>
          <w:szCs w:val="18"/>
        </w:rPr>
        <w:tab/>
      </w:r>
      <w:r w:rsidRPr="002E038E">
        <w:rPr>
          <w:sz w:val="18"/>
          <w:szCs w:val="18"/>
        </w:rPr>
        <w:fldChar w:fldCharType="begin"/>
      </w:r>
      <w:r w:rsidRPr="002E038E">
        <w:rPr>
          <w:sz w:val="18"/>
          <w:szCs w:val="18"/>
        </w:rPr>
        <w:instrText xml:space="preserve"> PAGEREF _Toc269636039 \h </w:instrText>
      </w:r>
      <w:r w:rsidRPr="002E038E">
        <w:rPr>
          <w:sz w:val="18"/>
          <w:szCs w:val="18"/>
        </w:rPr>
      </w:r>
      <w:r w:rsidRPr="002E038E">
        <w:rPr>
          <w:sz w:val="18"/>
          <w:szCs w:val="18"/>
        </w:rPr>
        <w:fldChar w:fldCharType="separate"/>
      </w:r>
      <w:r w:rsidRPr="002E038E">
        <w:rPr>
          <w:sz w:val="18"/>
          <w:szCs w:val="18"/>
        </w:rPr>
        <w:t>16</w:t>
      </w:r>
      <w:r w:rsidRPr="002E038E">
        <w:rPr>
          <w:sz w:val="18"/>
          <w:szCs w:val="18"/>
        </w:rPr>
        <w:fldChar w:fldCharType="end"/>
      </w:r>
    </w:p>
    <w:p w14:paraId="79E69424"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6: How much money can tourism concessions make?</w:t>
      </w:r>
      <w:r w:rsidRPr="002E038E">
        <w:rPr>
          <w:sz w:val="18"/>
          <w:szCs w:val="18"/>
        </w:rPr>
        <w:tab/>
      </w:r>
      <w:r w:rsidRPr="002E038E">
        <w:rPr>
          <w:sz w:val="18"/>
          <w:szCs w:val="18"/>
        </w:rPr>
        <w:fldChar w:fldCharType="begin"/>
      </w:r>
      <w:r w:rsidRPr="002E038E">
        <w:rPr>
          <w:sz w:val="18"/>
          <w:szCs w:val="18"/>
        </w:rPr>
        <w:instrText xml:space="preserve"> PAGEREF _Toc269636040 \h </w:instrText>
      </w:r>
      <w:r w:rsidRPr="002E038E">
        <w:rPr>
          <w:sz w:val="18"/>
          <w:szCs w:val="18"/>
        </w:rPr>
      </w:r>
      <w:r w:rsidRPr="002E038E">
        <w:rPr>
          <w:sz w:val="18"/>
          <w:szCs w:val="18"/>
        </w:rPr>
        <w:fldChar w:fldCharType="separate"/>
      </w:r>
      <w:r w:rsidRPr="002E038E">
        <w:rPr>
          <w:sz w:val="18"/>
          <w:szCs w:val="18"/>
        </w:rPr>
        <w:t>19</w:t>
      </w:r>
      <w:r w:rsidRPr="002E038E">
        <w:rPr>
          <w:sz w:val="18"/>
          <w:szCs w:val="18"/>
        </w:rPr>
        <w:fldChar w:fldCharType="end"/>
      </w:r>
    </w:p>
    <w:p w14:paraId="1DCE2144" w14:textId="77777777" w:rsidR="00F63FEC" w:rsidRPr="002E038E" w:rsidRDefault="00F63FEC" w:rsidP="00F63FEC">
      <w:pPr>
        <w:pStyle w:val="TableofFigures"/>
        <w:rPr>
          <w:rFonts w:eastAsiaTheme="minorEastAsia" w:cstheme="minorBidi"/>
          <w:sz w:val="18"/>
          <w:szCs w:val="18"/>
          <w:lang w:eastAsia="ja-JP"/>
        </w:rPr>
      </w:pPr>
      <w:r w:rsidRPr="002E038E">
        <w:rPr>
          <w:sz w:val="18"/>
          <w:szCs w:val="18"/>
        </w:rPr>
        <w:t>Box 7: Problems with direct negotiations and unsolicited proposals</w:t>
      </w:r>
      <w:r w:rsidRPr="002E038E">
        <w:rPr>
          <w:sz w:val="18"/>
          <w:szCs w:val="18"/>
        </w:rPr>
        <w:tab/>
      </w:r>
      <w:r w:rsidRPr="002E038E">
        <w:rPr>
          <w:sz w:val="18"/>
          <w:szCs w:val="18"/>
        </w:rPr>
        <w:fldChar w:fldCharType="begin"/>
      </w:r>
      <w:r w:rsidRPr="002E038E">
        <w:rPr>
          <w:sz w:val="18"/>
          <w:szCs w:val="18"/>
        </w:rPr>
        <w:instrText xml:space="preserve"> PAGEREF _Toc269636041 \h </w:instrText>
      </w:r>
      <w:r w:rsidRPr="002E038E">
        <w:rPr>
          <w:sz w:val="18"/>
          <w:szCs w:val="18"/>
        </w:rPr>
      </w:r>
      <w:r w:rsidRPr="002E038E">
        <w:rPr>
          <w:sz w:val="18"/>
          <w:szCs w:val="18"/>
        </w:rPr>
        <w:fldChar w:fldCharType="separate"/>
      </w:r>
      <w:r w:rsidRPr="002E038E">
        <w:rPr>
          <w:sz w:val="18"/>
          <w:szCs w:val="18"/>
        </w:rPr>
        <w:t>23</w:t>
      </w:r>
      <w:r w:rsidRPr="002E038E">
        <w:rPr>
          <w:sz w:val="18"/>
          <w:szCs w:val="18"/>
        </w:rPr>
        <w:fldChar w:fldCharType="end"/>
      </w:r>
    </w:p>
    <w:p w14:paraId="07DEEEAB"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8: Sample table of contents for a concession manual</w:t>
      </w:r>
      <w:r w:rsidRPr="002E038E">
        <w:rPr>
          <w:sz w:val="18"/>
          <w:szCs w:val="18"/>
        </w:rPr>
        <w:tab/>
      </w:r>
      <w:r w:rsidRPr="002E038E">
        <w:rPr>
          <w:sz w:val="18"/>
          <w:szCs w:val="18"/>
        </w:rPr>
        <w:fldChar w:fldCharType="begin"/>
      </w:r>
      <w:r w:rsidRPr="002E038E">
        <w:rPr>
          <w:sz w:val="18"/>
          <w:szCs w:val="18"/>
        </w:rPr>
        <w:instrText xml:space="preserve"> PAGEREF _Toc269636042 \h </w:instrText>
      </w:r>
      <w:r w:rsidRPr="002E038E">
        <w:rPr>
          <w:sz w:val="18"/>
          <w:szCs w:val="18"/>
        </w:rPr>
      </w:r>
      <w:r w:rsidRPr="002E038E">
        <w:rPr>
          <w:sz w:val="18"/>
          <w:szCs w:val="18"/>
        </w:rPr>
        <w:fldChar w:fldCharType="separate"/>
      </w:r>
      <w:r w:rsidRPr="002E038E">
        <w:rPr>
          <w:sz w:val="18"/>
          <w:szCs w:val="18"/>
        </w:rPr>
        <w:t>33</w:t>
      </w:r>
      <w:r w:rsidRPr="002E038E">
        <w:rPr>
          <w:sz w:val="18"/>
          <w:szCs w:val="18"/>
        </w:rPr>
        <w:fldChar w:fldCharType="end"/>
      </w:r>
    </w:p>
    <w:p w14:paraId="64902593" w14:textId="77777777" w:rsidR="00B0673B" w:rsidRPr="00785625"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514918C5" w14:textId="77777777" w:rsidR="00785625" w:rsidRDefault="00785625" w:rsidP="00785625">
      <w:pPr>
        <w:spacing w:before="0" w:after="0" w:line="240" w:lineRule="auto"/>
        <w:jc w:val="left"/>
        <w:rPr>
          <w:rFonts w:ascii="Garamond" w:hAnsi="Garamond"/>
          <w:lang w:eastAsia="ko-KR"/>
        </w:rPr>
      </w:pPr>
    </w:p>
    <w:p w14:paraId="04576D62" w14:textId="4AA76A63" w:rsidR="00785625" w:rsidRPr="006311F5" w:rsidRDefault="00785625" w:rsidP="0078562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3" w:name="_Toc269636316"/>
      <w:r>
        <w:rPr>
          <w:rFonts w:ascii="Garamond" w:hAnsi="Garamond"/>
        </w:rPr>
        <w:t>Acronyms</w:t>
      </w:r>
      <w:bookmarkEnd w:id="3"/>
    </w:p>
    <w:p w14:paraId="43B3C0E0" w14:textId="77777777" w:rsidR="00785625" w:rsidRDefault="00785625" w:rsidP="00785625">
      <w:pPr>
        <w:spacing w:before="0" w:after="0" w:line="240" w:lineRule="auto"/>
        <w:jc w:val="left"/>
        <w:rPr>
          <w:rFonts w:ascii="Garamond" w:hAnsi="Garamond"/>
          <w:lang w:eastAsia="ko-KR"/>
        </w:rPr>
      </w:pPr>
    </w:p>
    <w:tbl>
      <w:tblPr>
        <w:tblStyle w:val="TableGrid"/>
        <w:tblW w:w="0" w:type="auto"/>
        <w:tblLook w:val="04A0" w:firstRow="1" w:lastRow="0" w:firstColumn="1" w:lastColumn="0" w:noHBand="0" w:noVBand="1"/>
      </w:tblPr>
      <w:tblGrid>
        <w:gridCol w:w="983"/>
        <w:gridCol w:w="3637"/>
        <w:gridCol w:w="1029"/>
        <w:gridCol w:w="3593"/>
      </w:tblGrid>
      <w:tr w:rsidR="005458A3" w:rsidRPr="006A4907" w14:paraId="1099D639" w14:textId="77777777" w:rsidTr="005458A3">
        <w:tc>
          <w:tcPr>
            <w:tcW w:w="983" w:type="dxa"/>
          </w:tcPr>
          <w:p w14:paraId="6655F3B6"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AZC</w:t>
            </w:r>
          </w:p>
        </w:tc>
        <w:tc>
          <w:tcPr>
            <w:tcW w:w="3637" w:type="dxa"/>
          </w:tcPr>
          <w:p w14:paraId="0A7372B9"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Ahi Zameni Chemucane</w:t>
            </w:r>
          </w:p>
        </w:tc>
        <w:tc>
          <w:tcPr>
            <w:tcW w:w="1029" w:type="dxa"/>
          </w:tcPr>
          <w:p w14:paraId="0A04E26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PAA</w:t>
            </w:r>
          </w:p>
        </w:tc>
        <w:tc>
          <w:tcPr>
            <w:tcW w:w="3593" w:type="dxa"/>
          </w:tcPr>
          <w:p w14:paraId="786D351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Protected Area Authority</w:t>
            </w:r>
          </w:p>
        </w:tc>
      </w:tr>
      <w:tr w:rsidR="005458A3" w:rsidRPr="006A4907" w14:paraId="4D440222" w14:textId="77777777" w:rsidTr="005458A3">
        <w:tc>
          <w:tcPr>
            <w:tcW w:w="983" w:type="dxa"/>
          </w:tcPr>
          <w:p w14:paraId="78BC04B9"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BOT</w:t>
            </w:r>
          </w:p>
        </w:tc>
        <w:tc>
          <w:tcPr>
            <w:tcW w:w="3637" w:type="dxa"/>
          </w:tcPr>
          <w:p w14:paraId="600E1A0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Build Operate and Transfer</w:t>
            </w:r>
          </w:p>
        </w:tc>
        <w:tc>
          <w:tcPr>
            <w:tcW w:w="1029" w:type="dxa"/>
          </w:tcPr>
          <w:p w14:paraId="1808685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PPF</w:t>
            </w:r>
          </w:p>
        </w:tc>
        <w:tc>
          <w:tcPr>
            <w:tcW w:w="3593" w:type="dxa"/>
          </w:tcPr>
          <w:p w14:paraId="159697A3"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Peace Parks Foundation</w:t>
            </w:r>
          </w:p>
        </w:tc>
      </w:tr>
      <w:tr w:rsidR="005458A3" w:rsidRPr="006A4907" w14:paraId="27D02D91" w14:textId="77777777" w:rsidTr="005458A3">
        <w:tc>
          <w:tcPr>
            <w:tcW w:w="983" w:type="dxa"/>
          </w:tcPr>
          <w:p w14:paraId="4512BBDA"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CITW</w:t>
            </w:r>
          </w:p>
        </w:tc>
        <w:tc>
          <w:tcPr>
            <w:tcW w:w="3637" w:type="dxa"/>
          </w:tcPr>
          <w:p w14:paraId="7ABD6A71"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Children in the Wilderness</w:t>
            </w:r>
          </w:p>
        </w:tc>
        <w:tc>
          <w:tcPr>
            <w:tcW w:w="1029" w:type="dxa"/>
          </w:tcPr>
          <w:p w14:paraId="4FA95F7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PPP</w:t>
            </w:r>
          </w:p>
        </w:tc>
        <w:tc>
          <w:tcPr>
            <w:tcW w:w="3593" w:type="dxa"/>
          </w:tcPr>
          <w:p w14:paraId="2FC15B1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Public Private Partnership</w:t>
            </w:r>
          </w:p>
        </w:tc>
      </w:tr>
      <w:tr w:rsidR="005458A3" w:rsidRPr="006A4907" w14:paraId="2EEFF046" w14:textId="77777777" w:rsidTr="005458A3">
        <w:tc>
          <w:tcPr>
            <w:tcW w:w="983" w:type="dxa"/>
          </w:tcPr>
          <w:p w14:paraId="7870CD98"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CTC</w:t>
            </w:r>
          </w:p>
        </w:tc>
        <w:tc>
          <w:tcPr>
            <w:tcW w:w="3637" w:type="dxa"/>
          </w:tcPr>
          <w:p w14:paraId="1A8C29B8"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Companhia de Tourismo de Chemucane</w:t>
            </w:r>
          </w:p>
        </w:tc>
        <w:tc>
          <w:tcPr>
            <w:tcW w:w="1029" w:type="dxa"/>
          </w:tcPr>
          <w:p w14:paraId="0E294818"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RfP</w:t>
            </w:r>
          </w:p>
        </w:tc>
        <w:tc>
          <w:tcPr>
            <w:tcW w:w="3593" w:type="dxa"/>
          </w:tcPr>
          <w:p w14:paraId="60BF88CC"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Request for proposals</w:t>
            </w:r>
          </w:p>
        </w:tc>
      </w:tr>
      <w:tr w:rsidR="005458A3" w:rsidRPr="006A4907" w14:paraId="1A382B59" w14:textId="77777777" w:rsidTr="005458A3">
        <w:tc>
          <w:tcPr>
            <w:tcW w:w="983" w:type="dxa"/>
          </w:tcPr>
          <w:p w14:paraId="45E1721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EIA</w:t>
            </w:r>
          </w:p>
        </w:tc>
        <w:tc>
          <w:tcPr>
            <w:tcW w:w="3637" w:type="dxa"/>
          </w:tcPr>
          <w:p w14:paraId="74E1B85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Environmental Impact Assessment</w:t>
            </w:r>
          </w:p>
        </w:tc>
        <w:tc>
          <w:tcPr>
            <w:tcW w:w="1029" w:type="dxa"/>
          </w:tcPr>
          <w:p w14:paraId="1269A3F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ROT</w:t>
            </w:r>
          </w:p>
        </w:tc>
        <w:tc>
          <w:tcPr>
            <w:tcW w:w="3593" w:type="dxa"/>
          </w:tcPr>
          <w:p w14:paraId="79C51EB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Rehabilitate-Operate-Transfer</w:t>
            </w:r>
          </w:p>
        </w:tc>
      </w:tr>
      <w:tr w:rsidR="005458A3" w:rsidRPr="006A4907" w14:paraId="12453187" w14:textId="77777777" w:rsidTr="005458A3">
        <w:tc>
          <w:tcPr>
            <w:tcW w:w="983" w:type="dxa"/>
          </w:tcPr>
          <w:p w14:paraId="77E3B94A"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EoI</w:t>
            </w:r>
          </w:p>
        </w:tc>
        <w:tc>
          <w:tcPr>
            <w:tcW w:w="3637" w:type="dxa"/>
          </w:tcPr>
          <w:p w14:paraId="7648426B"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Expression of Interest</w:t>
            </w:r>
          </w:p>
        </w:tc>
        <w:tc>
          <w:tcPr>
            <w:tcW w:w="1029" w:type="dxa"/>
          </w:tcPr>
          <w:p w14:paraId="4D28EA7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SADC</w:t>
            </w:r>
          </w:p>
        </w:tc>
        <w:tc>
          <w:tcPr>
            <w:tcW w:w="3593" w:type="dxa"/>
          </w:tcPr>
          <w:p w14:paraId="35B8EC12"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Southern African Development Community</w:t>
            </w:r>
          </w:p>
        </w:tc>
      </w:tr>
      <w:tr w:rsidR="005458A3" w:rsidRPr="006A4907" w14:paraId="39BF7C57" w14:textId="77777777" w:rsidTr="005458A3">
        <w:tc>
          <w:tcPr>
            <w:tcW w:w="983" w:type="dxa"/>
          </w:tcPr>
          <w:p w14:paraId="0389CA5C"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GLTFCA</w:t>
            </w:r>
          </w:p>
        </w:tc>
        <w:tc>
          <w:tcPr>
            <w:tcW w:w="3637" w:type="dxa"/>
          </w:tcPr>
          <w:p w14:paraId="5824D56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Great Limpopo TFCA</w:t>
            </w:r>
          </w:p>
        </w:tc>
        <w:tc>
          <w:tcPr>
            <w:tcW w:w="1029" w:type="dxa"/>
          </w:tcPr>
          <w:p w14:paraId="181ADFA7"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SANParks</w:t>
            </w:r>
          </w:p>
        </w:tc>
        <w:tc>
          <w:tcPr>
            <w:tcW w:w="3593" w:type="dxa"/>
          </w:tcPr>
          <w:p w14:paraId="5A02D558"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South African National Parks</w:t>
            </w:r>
          </w:p>
        </w:tc>
      </w:tr>
      <w:tr w:rsidR="005458A3" w:rsidRPr="006A4907" w14:paraId="3E9F1F09" w14:textId="77777777" w:rsidTr="005458A3">
        <w:tc>
          <w:tcPr>
            <w:tcW w:w="983" w:type="dxa"/>
          </w:tcPr>
          <w:p w14:paraId="0211FA9D"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MET</w:t>
            </w:r>
          </w:p>
        </w:tc>
        <w:tc>
          <w:tcPr>
            <w:tcW w:w="3637" w:type="dxa"/>
          </w:tcPr>
          <w:p w14:paraId="06C806D2"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Ministry of Environment and Tourism, Namibia</w:t>
            </w:r>
          </w:p>
        </w:tc>
        <w:tc>
          <w:tcPr>
            <w:tcW w:w="1029" w:type="dxa"/>
          </w:tcPr>
          <w:p w14:paraId="42BA5918"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TFCA</w:t>
            </w:r>
          </w:p>
        </w:tc>
        <w:tc>
          <w:tcPr>
            <w:tcW w:w="3593" w:type="dxa"/>
          </w:tcPr>
          <w:p w14:paraId="01F8BE09"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Transfrontier Conservation Area</w:t>
            </w:r>
          </w:p>
        </w:tc>
      </w:tr>
      <w:tr w:rsidR="005458A3" w:rsidRPr="006A4907" w14:paraId="3B3D9EBC" w14:textId="77777777" w:rsidTr="005458A3">
        <w:tc>
          <w:tcPr>
            <w:tcW w:w="983" w:type="dxa"/>
          </w:tcPr>
          <w:p w14:paraId="797665D9"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MITUR</w:t>
            </w:r>
          </w:p>
        </w:tc>
        <w:tc>
          <w:tcPr>
            <w:tcW w:w="3637" w:type="dxa"/>
          </w:tcPr>
          <w:p w14:paraId="4E2E34E9"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Ministry of Tourism, Mozambique</w:t>
            </w:r>
          </w:p>
        </w:tc>
        <w:tc>
          <w:tcPr>
            <w:tcW w:w="1029" w:type="dxa"/>
          </w:tcPr>
          <w:p w14:paraId="5DB0AAE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TFPD</w:t>
            </w:r>
          </w:p>
        </w:tc>
        <w:tc>
          <w:tcPr>
            <w:tcW w:w="3593" w:type="dxa"/>
          </w:tcPr>
          <w:p w14:paraId="5D986A94"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Transfrontier Park Destinations</w:t>
            </w:r>
          </w:p>
        </w:tc>
      </w:tr>
      <w:tr w:rsidR="005458A3" w:rsidRPr="006A4907" w14:paraId="0967A0DD" w14:textId="77777777" w:rsidTr="005458A3">
        <w:tc>
          <w:tcPr>
            <w:tcW w:w="983" w:type="dxa"/>
          </w:tcPr>
          <w:p w14:paraId="45FF6C83"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NGO</w:t>
            </w:r>
          </w:p>
        </w:tc>
        <w:tc>
          <w:tcPr>
            <w:tcW w:w="3637" w:type="dxa"/>
          </w:tcPr>
          <w:p w14:paraId="72F2ABBD"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Non-governmental organisations</w:t>
            </w:r>
          </w:p>
        </w:tc>
        <w:tc>
          <w:tcPr>
            <w:tcW w:w="1029" w:type="dxa"/>
          </w:tcPr>
          <w:p w14:paraId="62B35CCE" w14:textId="77777777" w:rsidR="005458A3" w:rsidRPr="006A4907" w:rsidRDefault="005458A3" w:rsidP="005458A3">
            <w:pPr>
              <w:spacing w:before="0" w:after="0" w:line="240" w:lineRule="auto"/>
              <w:jc w:val="left"/>
              <w:rPr>
                <w:rFonts w:ascii="Garamond" w:hAnsi="Garamond"/>
                <w:sz w:val="20"/>
                <w:szCs w:val="20"/>
                <w:lang w:eastAsia="ko-KR"/>
              </w:rPr>
            </w:pPr>
          </w:p>
        </w:tc>
        <w:tc>
          <w:tcPr>
            <w:tcW w:w="3593" w:type="dxa"/>
          </w:tcPr>
          <w:p w14:paraId="15FC4173" w14:textId="77777777" w:rsidR="005458A3" w:rsidRPr="006A4907" w:rsidRDefault="005458A3" w:rsidP="005458A3">
            <w:pPr>
              <w:spacing w:before="0" w:after="0" w:line="240" w:lineRule="auto"/>
              <w:jc w:val="left"/>
              <w:rPr>
                <w:rFonts w:ascii="Garamond" w:hAnsi="Garamond"/>
                <w:sz w:val="20"/>
                <w:szCs w:val="20"/>
                <w:lang w:eastAsia="ko-KR"/>
              </w:rPr>
            </w:pPr>
          </w:p>
        </w:tc>
      </w:tr>
    </w:tbl>
    <w:p w14:paraId="3E418C0C" w14:textId="77777777" w:rsidR="009F4743" w:rsidRDefault="009F4743" w:rsidP="00785625">
      <w:pPr>
        <w:spacing w:before="0" w:after="0" w:line="240" w:lineRule="auto"/>
        <w:jc w:val="left"/>
        <w:rPr>
          <w:rFonts w:ascii="Garamond" w:hAnsi="Garamond"/>
          <w:lang w:eastAsia="ko-KR"/>
        </w:rPr>
      </w:pPr>
    </w:p>
    <w:p w14:paraId="13A937F3" w14:textId="77777777" w:rsidR="00785625" w:rsidRDefault="00785625" w:rsidP="00785625">
      <w:pPr>
        <w:spacing w:before="0" w:after="0" w:line="240" w:lineRule="auto"/>
        <w:jc w:val="left"/>
        <w:rPr>
          <w:rFonts w:ascii="Garamond" w:hAnsi="Garamond"/>
          <w:lang w:eastAsia="ko-KR"/>
        </w:rPr>
      </w:pPr>
    </w:p>
    <w:p w14:paraId="2A9FD541" w14:textId="2A57C70C" w:rsidR="00785625" w:rsidRPr="006311F5" w:rsidRDefault="00785625" w:rsidP="0078562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4" w:name="_Toc269636317"/>
      <w:r>
        <w:rPr>
          <w:rFonts w:ascii="Garamond" w:hAnsi="Garamond"/>
        </w:rPr>
        <w:t>acknowledgements</w:t>
      </w:r>
      <w:bookmarkEnd w:id="4"/>
    </w:p>
    <w:p w14:paraId="5DD432E7" w14:textId="77777777" w:rsidR="00785625" w:rsidRDefault="00785625" w:rsidP="00785625">
      <w:pPr>
        <w:spacing w:before="0" w:after="0" w:line="240" w:lineRule="auto"/>
        <w:jc w:val="left"/>
        <w:rPr>
          <w:rFonts w:ascii="Garamond" w:hAnsi="Garamond"/>
          <w:lang w:eastAsia="ko-KR"/>
        </w:rPr>
      </w:pPr>
    </w:p>
    <w:p w14:paraId="7CC75AD3" w14:textId="6028FD05" w:rsidR="00571F4D" w:rsidRDefault="007C1EEE" w:rsidP="00C5086D">
      <w:pPr>
        <w:spacing w:before="0" w:after="0" w:line="240" w:lineRule="auto"/>
        <w:rPr>
          <w:rFonts w:ascii="Garamond" w:hAnsi="Garamond"/>
        </w:rPr>
      </w:pPr>
      <w:r w:rsidRPr="00B0673B">
        <w:rPr>
          <w:rFonts w:ascii="Garamond" w:hAnsi="Garamond"/>
        </w:rPr>
        <w:t>The guidelines were formulated through an inclusive consultative process, including during the scoping, scoping for the table of contents, draft content and best practice examples. The contributions by stakeholders within</w:t>
      </w:r>
      <w:r w:rsidR="00B0673B" w:rsidRPr="00B0673B">
        <w:rPr>
          <w:rFonts w:ascii="Garamond" w:hAnsi="Garamond"/>
        </w:rPr>
        <w:t xml:space="preserve"> SADC working on transboundary tourism and concessions, GiZ and </w:t>
      </w:r>
      <w:r w:rsidR="00B0673B">
        <w:rPr>
          <w:rFonts w:ascii="Garamond" w:hAnsi="Garamond"/>
          <w:highlight w:val="yellow"/>
        </w:rPr>
        <w:t>X</w:t>
      </w:r>
      <w:r w:rsidR="00B0673B" w:rsidRPr="00B0673B">
        <w:rPr>
          <w:rFonts w:ascii="Garamond" w:hAnsi="Garamond"/>
          <w:highlight w:val="yellow"/>
        </w:rPr>
        <w:t>X</w:t>
      </w:r>
      <w:r w:rsidR="00B0673B" w:rsidRPr="00B0673B">
        <w:rPr>
          <w:rFonts w:ascii="Garamond" w:hAnsi="Garamond"/>
        </w:rPr>
        <w:t xml:space="preserve"> are greatly appreciated. </w:t>
      </w:r>
      <w:r w:rsidRPr="00B0673B">
        <w:rPr>
          <w:rFonts w:ascii="Garamond" w:hAnsi="Garamond"/>
        </w:rPr>
        <w:t xml:space="preserve">For details of the process, kindly refer to section </w:t>
      </w:r>
      <w:r w:rsidRPr="00B0673B">
        <w:rPr>
          <w:rFonts w:ascii="Garamond" w:hAnsi="Garamond"/>
          <w:highlight w:val="yellow"/>
        </w:rPr>
        <w:t>XX</w:t>
      </w:r>
      <w:r w:rsidRPr="00B0673B">
        <w:rPr>
          <w:rFonts w:ascii="Garamond" w:hAnsi="Garamond"/>
        </w:rPr>
        <w:t>)</w:t>
      </w:r>
      <w:r w:rsidR="005458A3">
        <w:rPr>
          <w:rFonts w:ascii="Garamond" w:hAnsi="Garamond"/>
        </w:rPr>
        <w:t xml:space="preserve">.   </w:t>
      </w:r>
      <w:r w:rsidR="005458A3" w:rsidRPr="002113C9">
        <w:rPr>
          <w:rFonts w:ascii="Garamond" w:hAnsi="Garamond"/>
          <w:highlight w:val="yellow"/>
        </w:rPr>
        <w:t>Complete at end of process.</w:t>
      </w:r>
    </w:p>
    <w:p w14:paraId="769C0F26" w14:textId="77777777" w:rsidR="005458A3" w:rsidRDefault="005458A3" w:rsidP="00C5086D">
      <w:pPr>
        <w:spacing w:before="0" w:after="0" w:line="240" w:lineRule="auto"/>
        <w:rPr>
          <w:rFonts w:ascii="Garamond" w:hAnsi="Garamond"/>
        </w:rPr>
      </w:pPr>
    </w:p>
    <w:p w14:paraId="3F4BF5FF" w14:textId="77777777" w:rsidR="005458A3" w:rsidRPr="00B0673B" w:rsidRDefault="005458A3" w:rsidP="00C5086D">
      <w:pPr>
        <w:spacing w:before="0" w:after="0" w:line="240" w:lineRule="auto"/>
        <w:rPr>
          <w:rFonts w:ascii="Garamond" w:hAnsi="Garamond"/>
        </w:rPr>
      </w:pPr>
    </w:p>
    <w:p w14:paraId="07317E28" w14:textId="77777777" w:rsidR="003E5781" w:rsidRPr="00B0673B" w:rsidRDefault="003E5781" w:rsidP="006357A1">
      <w:pPr>
        <w:pStyle w:val="Heading1"/>
        <w:numPr>
          <w:ilvl w:val="0"/>
          <w:numId w:val="0"/>
        </w:numPr>
        <w:shd w:val="clear" w:color="auto" w:fill="4F6228"/>
        <w:spacing w:before="0" w:line="240" w:lineRule="auto"/>
        <w:rPr>
          <w:rFonts w:ascii="Garamond" w:hAnsi="Garamond"/>
          <w:sz w:val="22"/>
          <w:szCs w:val="22"/>
        </w:rPr>
        <w:sectPr w:rsidR="003E5781" w:rsidRPr="00B0673B" w:rsidSect="00253625">
          <w:headerReference w:type="even" r:id="rId10"/>
          <w:headerReference w:type="default" r:id="rId11"/>
          <w:headerReference w:type="first" r:id="rId12"/>
          <w:pgSz w:w="11906" w:h="16838" w:code="122"/>
          <w:pgMar w:top="1440" w:right="1440" w:bottom="1440" w:left="1440" w:header="709" w:footer="0" w:gutter="0"/>
          <w:cols w:space="708"/>
          <w:rtlGutter/>
          <w:docGrid w:linePitch="360"/>
        </w:sectPr>
      </w:pPr>
    </w:p>
    <w:p w14:paraId="10C180B4" w14:textId="77777777" w:rsidR="00DD53B1" w:rsidRPr="006311F5" w:rsidRDefault="00DD53B1" w:rsidP="00C5086D">
      <w:pPr>
        <w:spacing w:before="0" w:after="0" w:line="240" w:lineRule="auto"/>
        <w:rPr>
          <w:rFonts w:ascii="Garamond" w:hAnsi="Garamond"/>
        </w:rPr>
      </w:pPr>
    </w:p>
    <w:p w14:paraId="6A732765" w14:textId="1DD88267" w:rsidR="00901602" w:rsidRPr="006311F5" w:rsidRDefault="00785625" w:rsidP="00C5086D">
      <w:pPr>
        <w:pStyle w:val="Heading1"/>
        <w:shd w:val="clear" w:color="auto" w:fill="4F6228"/>
        <w:tabs>
          <w:tab w:val="num" w:pos="1090"/>
        </w:tabs>
        <w:spacing w:before="0" w:line="240" w:lineRule="auto"/>
        <w:ind w:left="426"/>
        <w:rPr>
          <w:rFonts w:ascii="Garamond" w:hAnsi="Garamond"/>
          <w:sz w:val="24"/>
          <w:szCs w:val="24"/>
        </w:rPr>
      </w:pPr>
      <w:bookmarkStart w:id="5" w:name="_Toc269636318"/>
      <w:bookmarkEnd w:id="1"/>
      <w:bookmarkEnd w:id="2"/>
      <w:r>
        <w:rPr>
          <w:rFonts w:ascii="Garamond" w:hAnsi="Garamond"/>
          <w:sz w:val="24"/>
          <w:szCs w:val="24"/>
        </w:rPr>
        <w:t>introduction</w:t>
      </w:r>
      <w:bookmarkEnd w:id="5"/>
    </w:p>
    <w:p w14:paraId="21D3A3D2" w14:textId="77777777" w:rsidR="00785625" w:rsidRPr="006311F5" w:rsidRDefault="00785625" w:rsidP="00C5086D">
      <w:pPr>
        <w:spacing w:before="0" w:after="0" w:line="240" w:lineRule="auto"/>
        <w:rPr>
          <w:rFonts w:ascii="Garamond" w:hAnsi="Garamond"/>
        </w:rPr>
      </w:pPr>
    </w:p>
    <w:p w14:paraId="35C30E3B" w14:textId="3BDC4584" w:rsidR="00901602" w:rsidRPr="006311F5" w:rsidRDefault="00681690" w:rsidP="00C5086D">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6" w:name="_Toc269636319"/>
      <w:r>
        <w:rPr>
          <w:rFonts w:ascii="Garamond" w:hAnsi="Garamond"/>
        </w:rPr>
        <w:t xml:space="preserve">Aim and objectives </w:t>
      </w:r>
      <w:r w:rsidR="00785625">
        <w:rPr>
          <w:rFonts w:ascii="Garamond" w:hAnsi="Garamond"/>
        </w:rPr>
        <w:t>of the guidelines</w:t>
      </w:r>
      <w:bookmarkEnd w:id="6"/>
    </w:p>
    <w:p w14:paraId="49771B30" w14:textId="313A1E11" w:rsidR="00506C12" w:rsidRDefault="00345DD4" w:rsidP="00E87144">
      <w:pPr>
        <w:spacing w:before="0" w:after="0" w:line="240" w:lineRule="auto"/>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2 pages</w:t>
      </w:r>
    </w:p>
    <w:p w14:paraId="1DA04593" w14:textId="77777777" w:rsidR="00345DD4" w:rsidRDefault="00345DD4" w:rsidP="00E87144">
      <w:pPr>
        <w:spacing w:before="0" w:after="0" w:line="240" w:lineRule="auto"/>
        <w:rPr>
          <w:rFonts w:ascii="Garamond" w:hAnsi="Garamond"/>
        </w:rPr>
      </w:pPr>
    </w:p>
    <w:p w14:paraId="5261BAAB" w14:textId="7AE8ECFC" w:rsidR="00AA40AA" w:rsidRDefault="00AA40AA" w:rsidP="00E87144">
      <w:pPr>
        <w:spacing w:before="0" w:after="0" w:line="240" w:lineRule="auto"/>
        <w:rPr>
          <w:rFonts w:ascii="Garamond" w:hAnsi="Garamond"/>
        </w:rPr>
      </w:pPr>
      <w:r>
        <w:rPr>
          <w:rFonts w:ascii="Garamond" w:hAnsi="Garamond"/>
        </w:rPr>
        <w:t>There are a number of reasons that it can be useful for authorities within transfrontier conservation areas (TFCAs) to grant tourism co</w:t>
      </w:r>
      <w:r w:rsidR="0091087A">
        <w:rPr>
          <w:rFonts w:ascii="Garamond" w:hAnsi="Garamond"/>
        </w:rPr>
        <w:t>ncessions to the private sector</w:t>
      </w:r>
      <w:r>
        <w:rPr>
          <w:rFonts w:ascii="Garamond" w:hAnsi="Garamond"/>
        </w:rPr>
        <w:t>.</w:t>
      </w:r>
      <w:r w:rsidR="0091087A">
        <w:rPr>
          <w:rFonts w:ascii="Garamond" w:hAnsi="Garamond"/>
        </w:rPr>
        <w:t xml:space="preserve"> </w:t>
      </w:r>
      <w:r>
        <w:rPr>
          <w:rFonts w:ascii="Garamond" w:hAnsi="Garamond"/>
        </w:rPr>
        <w:t>These include that the private sector</w:t>
      </w:r>
      <w:r>
        <w:rPr>
          <w:rStyle w:val="FootnoteReference"/>
          <w:rFonts w:ascii="Garamond" w:hAnsi="Garamond"/>
        </w:rPr>
        <w:footnoteReference w:id="1"/>
      </w:r>
      <w:r>
        <w:rPr>
          <w:rFonts w:ascii="Garamond" w:hAnsi="Garamond"/>
        </w:rPr>
        <w:t xml:space="preserve">: </w:t>
      </w:r>
    </w:p>
    <w:p w14:paraId="795AD447" w14:textId="77777777" w:rsidR="00506C12" w:rsidRDefault="00506C12" w:rsidP="00E87144">
      <w:pPr>
        <w:spacing w:before="0" w:after="0" w:line="240" w:lineRule="auto"/>
        <w:rPr>
          <w:rFonts w:ascii="Garamond" w:hAnsi="Garamond"/>
        </w:rPr>
      </w:pPr>
    </w:p>
    <w:p w14:paraId="0A430F1C" w14:textId="41D38AAB" w:rsidR="00AA40AA" w:rsidRPr="00065F10" w:rsidRDefault="00AA40AA" w:rsidP="00F47607">
      <w:pPr>
        <w:pStyle w:val="ListParagraph"/>
        <w:numPr>
          <w:ilvl w:val="0"/>
          <w:numId w:val="25"/>
        </w:numPr>
        <w:spacing w:before="0" w:after="0" w:line="240" w:lineRule="auto"/>
        <w:rPr>
          <w:rFonts w:ascii="Garamond" w:hAnsi="Garamond"/>
        </w:rPr>
      </w:pPr>
      <w:r w:rsidRPr="00506C12">
        <w:rPr>
          <w:rFonts w:ascii="Garamond" w:hAnsi="Garamond"/>
        </w:rPr>
        <w:t>has commercial tourism o</w:t>
      </w:r>
      <w:r w:rsidR="00065F10">
        <w:rPr>
          <w:rFonts w:ascii="Garamond" w:hAnsi="Garamond"/>
        </w:rPr>
        <w:t xml:space="preserve">perations as its core business, and </w:t>
      </w:r>
      <w:r w:rsidR="00065F10" w:rsidRPr="00506C12">
        <w:rPr>
          <w:rFonts w:ascii="Garamond" w:hAnsi="Garamond"/>
        </w:rPr>
        <w:t>can be more effective and efficient in generating revenue from tourism;</w:t>
      </w:r>
    </w:p>
    <w:p w14:paraId="3664EE6E" w14:textId="7F6B1AB3" w:rsidR="00AA40AA" w:rsidRPr="00065F10" w:rsidRDefault="00AA40AA" w:rsidP="00F47607">
      <w:pPr>
        <w:pStyle w:val="ListParagraph"/>
        <w:numPr>
          <w:ilvl w:val="0"/>
          <w:numId w:val="25"/>
        </w:numPr>
        <w:spacing w:before="0" w:after="0" w:line="240" w:lineRule="auto"/>
        <w:rPr>
          <w:rFonts w:ascii="Garamond" w:hAnsi="Garamond"/>
        </w:rPr>
      </w:pPr>
      <w:r w:rsidRPr="00506C12">
        <w:rPr>
          <w:rFonts w:ascii="Garamond" w:hAnsi="Garamond"/>
        </w:rPr>
        <w:t>understands how to match pro</w:t>
      </w:r>
      <w:r w:rsidR="00065F10">
        <w:rPr>
          <w:rFonts w:ascii="Garamond" w:hAnsi="Garamond"/>
        </w:rPr>
        <w:t xml:space="preserve">duct design with market demand, and how to promote products, and can </w:t>
      </w:r>
      <w:r w:rsidR="00065F10" w:rsidRPr="00506C12">
        <w:rPr>
          <w:rFonts w:ascii="Garamond" w:hAnsi="Garamond"/>
        </w:rPr>
        <w:t xml:space="preserve">more easily able to adapt to changing markets needs and conditions; </w:t>
      </w:r>
    </w:p>
    <w:p w14:paraId="66108DA4" w14:textId="67CE5BA0" w:rsidR="00AA40AA" w:rsidRPr="00065F10" w:rsidRDefault="00AA40AA" w:rsidP="00F47607">
      <w:pPr>
        <w:pStyle w:val="ListParagraph"/>
        <w:numPr>
          <w:ilvl w:val="0"/>
          <w:numId w:val="25"/>
        </w:numPr>
        <w:spacing w:before="0" w:after="0" w:line="240" w:lineRule="auto"/>
        <w:rPr>
          <w:rFonts w:ascii="Garamond" w:hAnsi="Garamond"/>
        </w:rPr>
      </w:pPr>
      <w:r w:rsidRPr="00506C12">
        <w:rPr>
          <w:rFonts w:ascii="Garamond" w:hAnsi="Garamond"/>
        </w:rPr>
        <w:t>can more easily raise c</w:t>
      </w:r>
      <w:r w:rsidR="00065F10">
        <w:rPr>
          <w:rFonts w:ascii="Garamond" w:hAnsi="Garamond"/>
        </w:rPr>
        <w:t xml:space="preserve">apital and other funds,  and </w:t>
      </w:r>
      <w:r w:rsidRPr="00065F10">
        <w:rPr>
          <w:rFonts w:ascii="Garamond" w:hAnsi="Garamond"/>
        </w:rPr>
        <w:t xml:space="preserve">can be transferred the risk and responsibility for commercial tourism; </w:t>
      </w:r>
      <w:r w:rsidR="005458A3">
        <w:rPr>
          <w:rFonts w:ascii="Garamond" w:hAnsi="Garamond"/>
        </w:rPr>
        <w:t>and</w:t>
      </w:r>
    </w:p>
    <w:p w14:paraId="55B5473B" w14:textId="1282D0A5" w:rsidR="00AA40AA" w:rsidRPr="00506C12" w:rsidRDefault="00AA40AA" w:rsidP="00F47607">
      <w:pPr>
        <w:pStyle w:val="ListParagraph"/>
        <w:numPr>
          <w:ilvl w:val="0"/>
          <w:numId w:val="25"/>
        </w:numPr>
        <w:spacing w:before="0" w:after="0" w:line="240" w:lineRule="auto"/>
        <w:rPr>
          <w:rFonts w:ascii="Garamond" w:hAnsi="Garamond"/>
        </w:rPr>
      </w:pPr>
      <w:r w:rsidRPr="00506C12">
        <w:rPr>
          <w:rFonts w:ascii="Garamond" w:hAnsi="Garamond"/>
        </w:rPr>
        <w:t>is (often) not constrained by as much bureaucracy as within government.</w:t>
      </w:r>
    </w:p>
    <w:p w14:paraId="3C1BF375" w14:textId="77777777" w:rsidR="00506C12" w:rsidRDefault="00506C12" w:rsidP="00E87144">
      <w:pPr>
        <w:spacing w:before="0" w:after="0" w:line="240" w:lineRule="auto"/>
        <w:rPr>
          <w:rFonts w:ascii="Garamond" w:hAnsi="Garamond"/>
        </w:rPr>
      </w:pPr>
    </w:p>
    <w:p w14:paraId="33B5D497" w14:textId="11477B14" w:rsidR="004C2A2B" w:rsidRDefault="004C2A2B" w:rsidP="00E87144">
      <w:pPr>
        <w:spacing w:before="0" w:after="0" w:line="240" w:lineRule="auto"/>
        <w:rPr>
          <w:rFonts w:ascii="Garamond" w:hAnsi="Garamond"/>
        </w:rPr>
      </w:pPr>
      <w:r>
        <w:rPr>
          <w:rFonts w:ascii="Garamond" w:hAnsi="Garamond"/>
        </w:rPr>
        <w:t xml:space="preserve">The </w:t>
      </w:r>
      <w:r w:rsidRPr="0091087A">
        <w:rPr>
          <w:rFonts w:ascii="Garamond" w:hAnsi="Garamond"/>
          <w:b/>
        </w:rPr>
        <w:t>aim</w:t>
      </w:r>
      <w:r>
        <w:rPr>
          <w:rFonts w:ascii="Garamond" w:hAnsi="Garamond"/>
        </w:rPr>
        <w:t xml:space="preserve"> of these guidelines is to provide guidance </w:t>
      </w:r>
      <w:r w:rsidR="00065F10">
        <w:rPr>
          <w:rFonts w:ascii="Garamond" w:hAnsi="Garamond"/>
        </w:rPr>
        <w:t xml:space="preserve">for tourism concessioning in </w:t>
      </w:r>
      <w:r w:rsidR="0091087A">
        <w:rPr>
          <w:rFonts w:ascii="Garamond" w:hAnsi="Garamond"/>
        </w:rPr>
        <w:t>TFCAs</w:t>
      </w:r>
      <w:r>
        <w:rPr>
          <w:rFonts w:ascii="Garamond" w:hAnsi="Garamond"/>
        </w:rPr>
        <w:t xml:space="preserve"> </w:t>
      </w:r>
      <w:r w:rsidR="00065F10">
        <w:rPr>
          <w:rFonts w:ascii="Garamond" w:hAnsi="Garamond"/>
        </w:rPr>
        <w:t>with</w:t>
      </w:r>
      <w:r>
        <w:rPr>
          <w:rFonts w:ascii="Garamond" w:hAnsi="Garamond"/>
        </w:rPr>
        <w:t xml:space="preserve">in </w:t>
      </w:r>
      <w:r w:rsidR="00EC3BC6">
        <w:rPr>
          <w:rFonts w:ascii="Garamond" w:hAnsi="Garamond"/>
        </w:rPr>
        <w:t>the Southern African Development Community (</w:t>
      </w:r>
      <w:r>
        <w:rPr>
          <w:rFonts w:ascii="Garamond" w:hAnsi="Garamond"/>
        </w:rPr>
        <w:t>SADC</w:t>
      </w:r>
      <w:r w:rsidR="00EC3BC6">
        <w:rPr>
          <w:rFonts w:ascii="Garamond" w:hAnsi="Garamond"/>
        </w:rPr>
        <w:t>)</w:t>
      </w:r>
      <w:r>
        <w:rPr>
          <w:rFonts w:ascii="Garamond" w:hAnsi="Garamond"/>
        </w:rPr>
        <w:t>.</w:t>
      </w:r>
    </w:p>
    <w:p w14:paraId="17579770" w14:textId="77777777" w:rsidR="00506C12" w:rsidRDefault="00506C12" w:rsidP="00E87144">
      <w:pPr>
        <w:spacing w:before="0" w:after="0" w:line="240" w:lineRule="auto"/>
        <w:rPr>
          <w:rFonts w:ascii="Garamond" w:hAnsi="Garamond"/>
        </w:rPr>
      </w:pPr>
    </w:p>
    <w:p w14:paraId="7041675B" w14:textId="662F72FC" w:rsidR="004C2A2B" w:rsidRDefault="004C2A2B" w:rsidP="00E87144">
      <w:pPr>
        <w:spacing w:before="0" w:after="0" w:line="240" w:lineRule="auto"/>
        <w:rPr>
          <w:rFonts w:ascii="Garamond" w:hAnsi="Garamond"/>
        </w:rPr>
      </w:pPr>
      <w:r>
        <w:rPr>
          <w:rFonts w:ascii="Garamond" w:hAnsi="Garamond"/>
        </w:rPr>
        <w:t xml:space="preserve">The </w:t>
      </w:r>
      <w:r w:rsidRPr="0091087A">
        <w:rPr>
          <w:rFonts w:ascii="Garamond" w:hAnsi="Garamond"/>
          <w:b/>
        </w:rPr>
        <w:t xml:space="preserve">objectives </w:t>
      </w:r>
      <w:r>
        <w:rPr>
          <w:rFonts w:ascii="Garamond" w:hAnsi="Garamond"/>
        </w:rPr>
        <w:t>are to:</w:t>
      </w:r>
    </w:p>
    <w:p w14:paraId="48F2F14F" w14:textId="77777777" w:rsidR="00506C12" w:rsidRDefault="00506C12" w:rsidP="00E87144">
      <w:pPr>
        <w:spacing w:before="0" w:after="0" w:line="240" w:lineRule="auto"/>
        <w:rPr>
          <w:rFonts w:ascii="Garamond" w:hAnsi="Garamond"/>
        </w:rPr>
      </w:pPr>
    </w:p>
    <w:p w14:paraId="09C27903" w14:textId="7EE94594" w:rsidR="00B453D3"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 xml:space="preserve">Provide </w:t>
      </w:r>
      <w:r w:rsidR="005A538F" w:rsidRPr="00506C12">
        <w:rPr>
          <w:rFonts w:ascii="Garamond" w:hAnsi="Garamond"/>
        </w:rPr>
        <w:t xml:space="preserve">practical </w:t>
      </w:r>
      <w:r w:rsidR="00CC0AE7" w:rsidRPr="00506C12">
        <w:rPr>
          <w:rFonts w:ascii="Garamond" w:hAnsi="Garamond"/>
        </w:rPr>
        <w:t xml:space="preserve">evidence-based </w:t>
      </w:r>
      <w:r w:rsidRPr="00506C12">
        <w:rPr>
          <w:rFonts w:ascii="Garamond" w:hAnsi="Garamond"/>
        </w:rPr>
        <w:t>guidance on a step-by-step the concessioning process</w:t>
      </w:r>
      <w:r w:rsidR="00CC0AE7" w:rsidRPr="00506C12">
        <w:rPr>
          <w:rFonts w:ascii="Garamond" w:hAnsi="Garamond"/>
        </w:rPr>
        <w:t xml:space="preserve"> that supports decision making</w:t>
      </w:r>
      <w:r w:rsidR="005A538F" w:rsidRPr="00506C12">
        <w:rPr>
          <w:rFonts w:ascii="Garamond" w:hAnsi="Garamond"/>
        </w:rPr>
        <w:t>;</w:t>
      </w:r>
    </w:p>
    <w:p w14:paraId="23B9EDA3" w14:textId="40BCD6FD" w:rsidR="00B453D3" w:rsidRPr="00506C12" w:rsidRDefault="00B453D3" w:rsidP="00F47607">
      <w:pPr>
        <w:pStyle w:val="ListParagraph"/>
        <w:numPr>
          <w:ilvl w:val="0"/>
          <w:numId w:val="26"/>
        </w:numPr>
        <w:spacing w:before="0" w:after="0" w:line="240" w:lineRule="auto"/>
        <w:rPr>
          <w:rFonts w:ascii="Garamond" w:hAnsi="Garamond"/>
        </w:rPr>
      </w:pPr>
      <w:r w:rsidRPr="00506C12">
        <w:rPr>
          <w:rFonts w:ascii="Garamond" w:hAnsi="Garamond"/>
        </w:rPr>
        <w:t>Ensure that guidance aligns the goals and objectives of conservation agencies and the</w:t>
      </w:r>
      <w:r w:rsidR="00AD4E5D" w:rsidRPr="00506C12">
        <w:rPr>
          <w:rFonts w:ascii="Garamond" w:hAnsi="Garamond"/>
        </w:rPr>
        <w:t xml:space="preserve"> private sector, and with the principles of sustainable tourism;</w:t>
      </w:r>
    </w:p>
    <w:p w14:paraId="7634CC34" w14:textId="77642326" w:rsidR="004C2A2B"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Provide case study examples of good practice from within SADC</w:t>
      </w:r>
      <w:r w:rsidR="00D76150" w:rsidRPr="00506C12">
        <w:rPr>
          <w:rFonts w:ascii="Garamond" w:hAnsi="Garamond"/>
        </w:rPr>
        <w:t>, challenges, and tips to address them</w:t>
      </w:r>
      <w:r w:rsidR="005A538F" w:rsidRPr="00506C12">
        <w:rPr>
          <w:rFonts w:ascii="Garamond" w:hAnsi="Garamond"/>
        </w:rPr>
        <w:t>; and</w:t>
      </w:r>
    </w:p>
    <w:p w14:paraId="606BF4F7" w14:textId="5B3F526C" w:rsidR="00EC3BC6"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Provide simple, clear</w:t>
      </w:r>
      <w:r w:rsidR="00CC0AE7" w:rsidRPr="00506C12">
        <w:rPr>
          <w:rFonts w:ascii="Garamond" w:hAnsi="Garamond"/>
        </w:rPr>
        <w:t>, reliable, applicable, flexible</w:t>
      </w:r>
      <w:r w:rsidRPr="00506C12">
        <w:rPr>
          <w:rFonts w:ascii="Garamond" w:hAnsi="Garamond"/>
        </w:rPr>
        <w:t xml:space="preserve"> and concise information, with links to more detailed information</w:t>
      </w:r>
      <w:r w:rsidR="00D76150" w:rsidRPr="00506C12">
        <w:rPr>
          <w:rFonts w:ascii="Garamond" w:hAnsi="Garamond"/>
        </w:rPr>
        <w:t xml:space="preserve"> and templates</w:t>
      </w:r>
      <w:r w:rsidR="005A538F" w:rsidRPr="00506C12">
        <w:rPr>
          <w:rFonts w:ascii="Garamond" w:hAnsi="Garamond"/>
        </w:rPr>
        <w:t>.</w:t>
      </w:r>
    </w:p>
    <w:p w14:paraId="7BBAEF9D" w14:textId="77777777" w:rsidR="00506C12" w:rsidRDefault="00506C12" w:rsidP="00506C12">
      <w:pPr>
        <w:pStyle w:val="ListParagraph"/>
        <w:spacing w:before="0" w:after="0" w:line="240" w:lineRule="auto"/>
        <w:ind w:left="0"/>
        <w:contextualSpacing w:val="0"/>
        <w:rPr>
          <w:rFonts w:ascii="Garamond" w:hAnsi="Garamond"/>
        </w:rPr>
      </w:pPr>
    </w:p>
    <w:p w14:paraId="667969DB" w14:textId="35D031A6" w:rsidR="00506C12" w:rsidRPr="00506C12" w:rsidRDefault="00506C12" w:rsidP="00506C12">
      <w:pPr>
        <w:spacing w:before="0" w:after="0" w:line="240" w:lineRule="auto"/>
        <w:rPr>
          <w:rFonts w:ascii="Garamond" w:hAnsi="Garamond"/>
          <w:b/>
        </w:rPr>
      </w:pPr>
      <w:bookmarkStart w:id="7" w:name="_Toc269636035"/>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1</w:t>
      </w:r>
      <w:r w:rsidRPr="00506C12">
        <w:rPr>
          <w:rFonts w:ascii="Garamond" w:hAnsi="Garamond"/>
          <w:b/>
        </w:rPr>
        <w:fldChar w:fldCharType="end"/>
      </w:r>
      <w:r w:rsidRPr="00506C12">
        <w:rPr>
          <w:rFonts w:ascii="Garamond" w:hAnsi="Garamond"/>
          <w:b/>
        </w:rPr>
        <w:t xml:space="preserve">: </w:t>
      </w:r>
      <w:r w:rsidR="00065F10">
        <w:rPr>
          <w:rFonts w:ascii="Garamond" w:hAnsi="Garamond"/>
          <w:b/>
        </w:rPr>
        <w:t xml:space="preserve">Key </w:t>
      </w:r>
      <w:r w:rsidRPr="00506C12">
        <w:rPr>
          <w:rFonts w:ascii="Garamond" w:hAnsi="Garamond"/>
          <w:b/>
        </w:rPr>
        <w:t>definitions</w:t>
      </w:r>
      <w:r w:rsidR="00065F10">
        <w:rPr>
          <w:rFonts w:ascii="Garamond" w:hAnsi="Garamond"/>
          <w:b/>
        </w:rPr>
        <w:t xml:space="preserve"> for these guidelines</w:t>
      </w:r>
      <w:bookmarkEnd w:id="7"/>
    </w:p>
    <w:tbl>
      <w:tblPr>
        <w:tblStyle w:val="TableGrid"/>
        <w:tblW w:w="0" w:type="auto"/>
        <w:tblLook w:val="04A0" w:firstRow="1" w:lastRow="0" w:firstColumn="1" w:lastColumn="0" w:noHBand="0" w:noVBand="1"/>
      </w:tblPr>
      <w:tblGrid>
        <w:gridCol w:w="9242"/>
      </w:tblGrid>
      <w:tr w:rsidR="00EC3BC6" w:rsidRPr="00FC383E" w14:paraId="53C57039" w14:textId="77777777" w:rsidTr="008111C7">
        <w:tc>
          <w:tcPr>
            <w:tcW w:w="9242" w:type="dxa"/>
          </w:tcPr>
          <w:p w14:paraId="39930E45" w14:textId="427CB947" w:rsidR="00787487" w:rsidRPr="00FC383E" w:rsidRDefault="00787487" w:rsidP="00FC383E">
            <w:pPr>
              <w:spacing w:before="0" w:after="0" w:line="240" w:lineRule="auto"/>
              <w:rPr>
                <w:rFonts w:ascii="Garamond" w:hAnsi="Garamond"/>
                <w:bCs/>
                <w:sz w:val="20"/>
                <w:szCs w:val="20"/>
              </w:rPr>
            </w:pPr>
            <w:r w:rsidRPr="00FC383E">
              <w:rPr>
                <w:rFonts w:ascii="Garamond" w:hAnsi="Garamond"/>
                <w:b/>
                <w:sz w:val="20"/>
                <w:szCs w:val="20"/>
              </w:rPr>
              <w:t>Tourism concession:</w:t>
            </w:r>
            <w:r w:rsidRPr="00FC383E">
              <w:rPr>
                <w:rFonts w:ascii="Garamond" w:hAnsi="Garamond"/>
                <w:sz w:val="20"/>
                <w:szCs w:val="20"/>
              </w:rPr>
              <w:t xml:space="preserve">  A concession is </w:t>
            </w:r>
            <w:r w:rsidRPr="00FC383E">
              <w:rPr>
                <w:rStyle w:val="apple-style-span"/>
                <w:rFonts w:ascii="Garamond" w:hAnsi="Garamond"/>
                <w:color w:val="000000"/>
                <w:sz w:val="20"/>
                <w:szCs w:val="20"/>
              </w:rPr>
              <w:t>the right to use land or other property for a specified purpose, granted by a government, company, or other controlling body. It can include a commercial operation or a piece of land into which land is divided, and itself further divided into smaller lots</w:t>
            </w:r>
            <w:r w:rsidRPr="00FC383E">
              <w:rPr>
                <w:rStyle w:val="FootnoteReference"/>
                <w:rFonts w:ascii="Garamond" w:hAnsi="Garamond"/>
                <w:color w:val="000000"/>
                <w:sz w:val="20"/>
                <w:szCs w:val="20"/>
              </w:rPr>
              <w:footnoteReference w:id="2"/>
            </w:r>
            <w:r w:rsidRPr="00FC383E">
              <w:rPr>
                <w:rStyle w:val="apple-style-span"/>
                <w:rFonts w:ascii="Garamond" w:hAnsi="Garamond" w:cs="Arial"/>
                <w:color w:val="000000"/>
                <w:sz w:val="20"/>
                <w:szCs w:val="20"/>
              </w:rPr>
              <w:t xml:space="preserve">. </w:t>
            </w:r>
            <w:r w:rsidRPr="00FC383E">
              <w:rPr>
                <w:rFonts w:ascii="Garamond" w:hAnsi="Garamond"/>
                <w:bCs/>
                <w:sz w:val="20"/>
                <w:szCs w:val="20"/>
              </w:rPr>
              <w:t>A tourism concession could provide accommodation, food and beverage, recreation, education, retail, and interpretive services</w:t>
            </w:r>
            <w:r w:rsidRPr="00FC383E">
              <w:rPr>
                <w:rStyle w:val="FootnoteReference"/>
                <w:rFonts w:ascii="Garamond" w:hAnsi="Garamond"/>
                <w:bCs/>
                <w:sz w:val="20"/>
                <w:szCs w:val="20"/>
              </w:rPr>
              <w:footnoteReference w:id="3"/>
            </w:r>
            <w:r w:rsidRPr="00FC383E">
              <w:rPr>
                <w:rFonts w:ascii="Garamond" w:hAnsi="Garamond"/>
                <w:bCs/>
                <w:sz w:val="20"/>
                <w:szCs w:val="20"/>
              </w:rPr>
              <w:t xml:space="preserve">. </w:t>
            </w:r>
            <w:r w:rsidR="00065F10">
              <w:rPr>
                <w:rFonts w:ascii="Garamond" w:hAnsi="Garamond"/>
                <w:bCs/>
                <w:sz w:val="20"/>
                <w:szCs w:val="20"/>
              </w:rPr>
              <w:t>Concessions are also termed Public Private P</w:t>
            </w:r>
            <w:r w:rsidR="00FC383E">
              <w:rPr>
                <w:rFonts w:ascii="Garamond" w:hAnsi="Garamond"/>
                <w:bCs/>
                <w:sz w:val="20"/>
                <w:szCs w:val="20"/>
              </w:rPr>
              <w:t xml:space="preserve">artnerships (see below). </w:t>
            </w:r>
          </w:p>
          <w:p w14:paraId="260D41BB" w14:textId="77777777" w:rsidR="0099629A" w:rsidRPr="00FC383E" w:rsidRDefault="0099629A" w:rsidP="00FC383E">
            <w:pPr>
              <w:spacing w:before="0" w:after="0" w:line="240" w:lineRule="auto"/>
              <w:rPr>
                <w:rFonts w:ascii="Garamond" w:hAnsi="Garamond"/>
                <w:bCs/>
                <w:sz w:val="20"/>
                <w:szCs w:val="20"/>
              </w:rPr>
            </w:pPr>
          </w:p>
          <w:p w14:paraId="4092968B" w14:textId="70AB571D" w:rsidR="0099629A" w:rsidRPr="00FC383E" w:rsidRDefault="0099629A" w:rsidP="00FC383E">
            <w:pPr>
              <w:pStyle w:val="NormalWeb"/>
              <w:spacing w:after="0" w:line="240" w:lineRule="auto"/>
              <w:rPr>
                <w:rFonts w:ascii="Garamond" w:eastAsia="Calibri" w:hAnsi="Garamond"/>
                <w:sz w:val="20"/>
                <w:szCs w:val="20"/>
                <w:lang w:val="en-GB" w:eastAsia="en-US"/>
              </w:rPr>
            </w:pPr>
            <w:r w:rsidRPr="00FC383E">
              <w:rPr>
                <w:rFonts w:ascii="Garamond" w:hAnsi="Garamond"/>
                <w:b/>
                <w:bCs/>
                <w:sz w:val="20"/>
                <w:szCs w:val="20"/>
              </w:rPr>
              <w:t>Public Private Partnership (PPP):</w:t>
            </w:r>
            <w:r w:rsidRPr="00FC383E">
              <w:rPr>
                <w:rFonts w:ascii="Garamond" w:hAnsi="Garamond"/>
                <w:bCs/>
                <w:sz w:val="20"/>
                <w:szCs w:val="20"/>
              </w:rPr>
              <w:t xml:space="preserve"> </w:t>
            </w:r>
            <w:r w:rsidR="00FC383E" w:rsidRPr="00FC383E">
              <w:rPr>
                <w:rFonts w:ascii="Garamond" w:eastAsia="Calibri" w:hAnsi="Garamond"/>
                <w:sz w:val="20"/>
                <w:szCs w:val="20"/>
                <w:lang w:val="en-GB" w:eastAsia="en-US"/>
              </w:rPr>
              <w:t>A</w:t>
            </w:r>
            <w:r w:rsidRPr="00FC383E">
              <w:rPr>
                <w:rFonts w:ascii="Garamond" w:eastAsia="Calibri" w:hAnsi="Garamond"/>
                <w:sz w:val="20"/>
                <w:szCs w:val="20"/>
                <w:lang w:val="en-GB" w:eastAsia="en-US"/>
              </w:rPr>
              <w:t xml:space="preserve"> commercial transaction between an institution and a private party, </w:t>
            </w:r>
            <w:r w:rsidR="00FC383E" w:rsidRPr="00FC383E">
              <w:rPr>
                <w:rFonts w:ascii="Garamond" w:eastAsia="Calibri" w:hAnsi="Garamond"/>
                <w:sz w:val="20"/>
                <w:szCs w:val="20"/>
                <w:lang w:val="en-GB" w:eastAsia="en-US"/>
              </w:rPr>
              <w:t xml:space="preserve">where the private party </w:t>
            </w:r>
            <w:r w:rsidRPr="00FC383E">
              <w:rPr>
                <w:rFonts w:ascii="Garamond" w:eastAsia="Calibri" w:hAnsi="Garamond"/>
                <w:sz w:val="20"/>
                <w:szCs w:val="20"/>
                <w:lang w:val="en-GB"/>
              </w:rPr>
              <w:t xml:space="preserve">acquires state property for its own commercial </w:t>
            </w:r>
            <w:r w:rsidR="00FC383E" w:rsidRPr="00FC383E">
              <w:rPr>
                <w:rFonts w:ascii="Garamond" w:eastAsia="Calibri" w:hAnsi="Garamond"/>
                <w:sz w:val="20"/>
                <w:szCs w:val="20"/>
                <w:lang w:val="en-GB"/>
              </w:rPr>
              <w:t>use</w:t>
            </w:r>
            <w:r w:rsidRPr="00FC383E">
              <w:rPr>
                <w:rFonts w:ascii="Garamond" w:eastAsia="Calibri" w:hAnsi="Garamond"/>
                <w:sz w:val="20"/>
                <w:szCs w:val="20"/>
                <w:lang w:val="en-GB"/>
              </w:rPr>
              <w:t xml:space="preserve"> and assumes</w:t>
            </w:r>
            <w:r w:rsidR="00FC383E" w:rsidRPr="00FC383E">
              <w:rPr>
                <w:rFonts w:ascii="Garamond" w:eastAsia="Calibri" w:hAnsi="Garamond"/>
                <w:sz w:val="20"/>
                <w:szCs w:val="20"/>
                <w:lang w:val="en-GB"/>
              </w:rPr>
              <w:t xml:space="preserve"> related</w:t>
            </w:r>
            <w:r w:rsidRPr="00FC383E">
              <w:rPr>
                <w:rFonts w:ascii="Garamond" w:eastAsia="Calibri" w:hAnsi="Garamond"/>
                <w:sz w:val="20"/>
                <w:szCs w:val="20"/>
                <w:lang w:val="en-GB"/>
              </w:rPr>
              <w:t xml:space="preserve"> substantial financial, technical and operational risks</w:t>
            </w:r>
            <w:r w:rsidR="00FC383E" w:rsidRPr="00FC383E">
              <w:rPr>
                <w:rFonts w:ascii="Garamond" w:eastAsia="Calibri" w:hAnsi="Garamond"/>
                <w:sz w:val="20"/>
                <w:szCs w:val="20"/>
                <w:lang w:val="en-GB"/>
              </w:rPr>
              <w:t xml:space="preserve">.  </w:t>
            </w:r>
            <w:r w:rsidRPr="00FC383E">
              <w:rPr>
                <w:rFonts w:ascii="Garamond" w:eastAsia="Calibri" w:hAnsi="Garamond"/>
                <w:sz w:val="20"/>
                <w:szCs w:val="20"/>
                <w:lang w:val="en-GB"/>
              </w:rPr>
              <w:t xml:space="preserve"> </w:t>
            </w:r>
            <w:r w:rsidR="00FC383E" w:rsidRPr="00FC383E">
              <w:rPr>
                <w:rFonts w:ascii="Garamond" w:eastAsia="Calibri" w:hAnsi="Garamond"/>
                <w:sz w:val="20"/>
                <w:szCs w:val="20"/>
                <w:lang w:val="en-GB"/>
              </w:rPr>
              <w:t xml:space="preserve">The private party </w:t>
            </w:r>
            <w:r w:rsidRPr="00FC383E">
              <w:rPr>
                <w:rFonts w:ascii="Garamond" w:eastAsia="Calibri" w:hAnsi="Garamond"/>
                <w:sz w:val="20"/>
                <w:szCs w:val="20"/>
                <w:lang w:val="en-GB"/>
              </w:rPr>
              <w:t>receives a benefit from performing using the state property by charg</w:t>
            </w:r>
            <w:r w:rsidR="00FC383E" w:rsidRPr="00FC383E">
              <w:rPr>
                <w:rFonts w:ascii="Garamond" w:eastAsia="Calibri" w:hAnsi="Garamond"/>
                <w:sz w:val="20"/>
                <w:szCs w:val="20"/>
                <w:lang w:val="en-GB"/>
              </w:rPr>
              <w:t xml:space="preserve">ing fees to </w:t>
            </w:r>
            <w:r w:rsidRPr="00FC383E">
              <w:rPr>
                <w:rFonts w:ascii="Garamond" w:eastAsia="Calibri" w:hAnsi="Garamond"/>
                <w:sz w:val="20"/>
                <w:szCs w:val="20"/>
                <w:lang w:val="en-GB"/>
              </w:rPr>
              <w:t xml:space="preserve">customers </w:t>
            </w:r>
            <w:r w:rsidR="00FC383E" w:rsidRPr="00FC383E">
              <w:rPr>
                <w:rFonts w:ascii="Garamond" w:eastAsia="Calibri" w:hAnsi="Garamond"/>
                <w:sz w:val="20"/>
                <w:szCs w:val="20"/>
                <w:lang w:val="en-GB"/>
              </w:rPr>
              <w:t>that they provide a service to.</w:t>
            </w:r>
            <w:r w:rsidR="00FC383E">
              <w:rPr>
                <w:rStyle w:val="FootnoteReference"/>
                <w:rFonts w:ascii="Garamond" w:eastAsia="Calibri" w:hAnsi="Garamond"/>
                <w:sz w:val="20"/>
                <w:szCs w:val="20"/>
                <w:lang w:val="en-GB"/>
              </w:rPr>
              <w:footnoteReference w:id="4"/>
            </w:r>
            <w:r w:rsidR="00FC383E" w:rsidRPr="00FC383E">
              <w:rPr>
                <w:rFonts w:ascii="Garamond" w:eastAsia="Calibri" w:hAnsi="Garamond"/>
                <w:sz w:val="20"/>
                <w:szCs w:val="20"/>
                <w:lang w:val="en-GB"/>
              </w:rPr>
              <w:t xml:space="preserve"> </w:t>
            </w:r>
          </w:p>
          <w:p w14:paraId="51D81039" w14:textId="77777777" w:rsidR="00AD4E5D" w:rsidRPr="00FC383E" w:rsidRDefault="00AD4E5D" w:rsidP="00FC383E">
            <w:pPr>
              <w:spacing w:before="0" w:after="0" w:line="240" w:lineRule="auto"/>
              <w:rPr>
                <w:rFonts w:ascii="Garamond" w:hAnsi="Garamond" w:cs="Arial"/>
                <w:color w:val="000000"/>
                <w:sz w:val="10"/>
                <w:szCs w:val="10"/>
              </w:rPr>
            </w:pPr>
          </w:p>
          <w:p w14:paraId="439B1263" w14:textId="1A355F13" w:rsidR="00787487" w:rsidRPr="00FC383E" w:rsidRDefault="00787487" w:rsidP="00FC383E">
            <w:pPr>
              <w:spacing w:before="0" w:after="0" w:line="240" w:lineRule="auto"/>
              <w:rPr>
                <w:rFonts w:ascii="Garamond" w:hAnsi="Garamond"/>
                <w:sz w:val="20"/>
                <w:szCs w:val="20"/>
              </w:rPr>
            </w:pPr>
            <w:r w:rsidRPr="00FC383E">
              <w:rPr>
                <w:rFonts w:ascii="Garamond" w:hAnsi="Garamond"/>
                <w:b/>
                <w:bCs/>
                <w:iCs/>
                <w:sz w:val="20"/>
                <w:szCs w:val="20"/>
              </w:rPr>
              <w:t>Sustainable tourism:</w:t>
            </w:r>
            <w:r w:rsidRPr="00FC383E">
              <w:rPr>
                <w:rFonts w:ascii="Garamond" w:hAnsi="Garamond"/>
                <w:bCs/>
                <w:iCs/>
                <w:sz w:val="20"/>
                <w:szCs w:val="20"/>
              </w:rPr>
              <w:t xml:space="preserve"> Tourism that takes full account of its current and future economic, social and environmental impacts, addressing the needs of visitors, the industry, the environment and host communities.</w:t>
            </w:r>
            <w:r w:rsidRPr="00FC383E">
              <w:rPr>
                <w:rStyle w:val="FootnoteReference"/>
                <w:rFonts w:ascii="Garamond" w:hAnsi="Garamond" w:cs="Arial"/>
                <w:color w:val="262626"/>
                <w:sz w:val="20"/>
                <w:szCs w:val="20"/>
              </w:rPr>
              <w:footnoteReference w:id="5"/>
            </w:r>
          </w:p>
          <w:p w14:paraId="68F33CA3" w14:textId="77777777" w:rsidR="00AD4E5D" w:rsidRPr="00FC383E" w:rsidRDefault="00AD4E5D" w:rsidP="00FC383E">
            <w:pPr>
              <w:spacing w:before="0" w:after="0" w:line="240" w:lineRule="auto"/>
              <w:rPr>
                <w:rFonts w:ascii="Garamond" w:hAnsi="Garamond"/>
                <w:b/>
                <w:sz w:val="10"/>
                <w:szCs w:val="10"/>
              </w:rPr>
            </w:pPr>
          </w:p>
          <w:p w14:paraId="72B63969" w14:textId="58DB9288" w:rsidR="008111C7" w:rsidRPr="00FC383E" w:rsidRDefault="00560584" w:rsidP="00FC383E">
            <w:pPr>
              <w:spacing w:before="0" w:after="0" w:line="240" w:lineRule="auto"/>
              <w:rPr>
                <w:rFonts w:ascii="Garamond" w:hAnsi="Garamond"/>
                <w:sz w:val="20"/>
                <w:szCs w:val="20"/>
              </w:rPr>
            </w:pPr>
            <w:r w:rsidRPr="00FC383E">
              <w:rPr>
                <w:rFonts w:ascii="Garamond" w:hAnsi="Garamond"/>
                <w:b/>
                <w:sz w:val="20"/>
                <w:szCs w:val="20"/>
              </w:rPr>
              <w:t>Transfrontier Conservation Area:</w:t>
            </w:r>
            <w:r w:rsidRPr="00FC383E">
              <w:rPr>
                <w:rFonts w:ascii="Garamond" w:hAnsi="Garamond"/>
                <w:sz w:val="20"/>
                <w:szCs w:val="20"/>
              </w:rPr>
              <w:t xml:space="preserve"> A collaboratively managed ecological connected terrestrial, freshwater and/or marine area that sustains ecological process and/or cultural values and crosses on</w:t>
            </w:r>
            <w:r w:rsidR="00CE6DB1">
              <w:rPr>
                <w:rFonts w:ascii="Garamond" w:hAnsi="Garamond"/>
                <w:sz w:val="20"/>
                <w:szCs w:val="20"/>
              </w:rPr>
              <w:t>e</w:t>
            </w:r>
            <w:r w:rsidRPr="00FC383E">
              <w:rPr>
                <w:rFonts w:ascii="Garamond" w:hAnsi="Garamond"/>
                <w:sz w:val="20"/>
                <w:szCs w:val="20"/>
              </w:rPr>
              <w:t xml:space="preserve"> or more international boundaries </w:t>
            </w:r>
            <w:r w:rsidRPr="00FC383E">
              <w:rPr>
                <w:rFonts w:ascii="Garamond" w:hAnsi="Garamond"/>
                <w:sz w:val="20"/>
                <w:szCs w:val="20"/>
              </w:rPr>
              <w:lastRenderedPageBreak/>
              <w:t>and which includes protected areas as well as multiple resource use areas from which tangible benefits are realized for affected communities.</w:t>
            </w:r>
            <w:r w:rsidRPr="00FC383E">
              <w:rPr>
                <w:rStyle w:val="FootnoteReference"/>
                <w:rFonts w:ascii="Garamond" w:hAnsi="Garamond" w:cs="Arial"/>
                <w:color w:val="262626"/>
                <w:sz w:val="20"/>
                <w:szCs w:val="20"/>
              </w:rPr>
              <w:t xml:space="preserve"> </w:t>
            </w:r>
            <w:r w:rsidRPr="00FC383E">
              <w:rPr>
                <w:rStyle w:val="FootnoteReference"/>
                <w:rFonts w:ascii="Garamond" w:hAnsi="Garamond" w:cs="Arial"/>
                <w:color w:val="262626"/>
                <w:sz w:val="20"/>
                <w:szCs w:val="20"/>
              </w:rPr>
              <w:footnoteReference w:id="6"/>
            </w:r>
          </w:p>
        </w:tc>
      </w:tr>
    </w:tbl>
    <w:p w14:paraId="542F21E3" w14:textId="77777777" w:rsidR="008111C7" w:rsidRDefault="008111C7" w:rsidP="00EC3BC6">
      <w:pPr>
        <w:spacing w:before="0" w:after="0" w:line="240" w:lineRule="auto"/>
        <w:rPr>
          <w:rFonts w:ascii="Garamond" w:hAnsi="Garamond"/>
          <w:highlight w:val="yellow"/>
        </w:rPr>
      </w:pPr>
    </w:p>
    <w:p w14:paraId="4E3108B2" w14:textId="0A71DF57" w:rsidR="006408C5" w:rsidRPr="006311F5" w:rsidRDefault="00785625" w:rsidP="006408C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 w:name="_Toc269636320"/>
      <w:r>
        <w:rPr>
          <w:rFonts w:ascii="Garamond" w:hAnsi="Garamond"/>
        </w:rPr>
        <w:t>Scope, structure and content</w:t>
      </w:r>
      <w:bookmarkEnd w:id="8"/>
    </w:p>
    <w:p w14:paraId="7CF5A28F" w14:textId="66E02C05" w:rsidR="0032109E" w:rsidRDefault="0032109E" w:rsidP="006408C5">
      <w:pPr>
        <w:spacing w:line="240" w:lineRule="auto"/>
        <w:rPr>
          <w:rFonts w:ascii="Garamond" w:hAnsi="Garamond"/>
        </w:rPr>
      </w:pPr>
      <w:r>
        <w:rPr>
          <w:rFonts w:ascii="Garamond" w:hAnsi="Garamond"/>
        </w:rPr>
        <w:t xml:space="preserve">The </w:t>
      </w:r>
      <w:r w:rsidRPr="00AD4E5D">
        <w:rPr>
          <w:rFonts w:ascii="Garamond" w:hAnsi="Garamond"/>
          <w:b/>
        </w:rPr>
        <w:t>main benefit</w:t>
      </w:r>
      <w:r>
        <w:rPr>
          <w:rFonts w:ascii="Garamond" w:hAnsi="Garamond"/>
        </w:rPr>
        <w:t xml:space="preserve"> of reading this guideline is to obtain </w:t>
      </w:r>
      <w:r w:rsidRPr="00D42477">
        <w:rPr>
          <w:rFonts w:ascii="Garamond" w:hAnsi="Garamond"/>
        </w:rPr>
        <w:t xml:space="preserve">basic guidance on how to </w:t>
      </w:r>
      <w:r>
        <w:rPr>
          <w:rFonts w:ascii="Garamond" w:hAnsi="Garamond"/>
        </w:rPr>
        <w:t xml:space="preserve">encourage, </w:t>
      </w:r>
      <w:r w:rsidRPr="00D42477">
        <w:rPr>
          <w:rFonts w:ascii="Garamond" w:hAnsi="Garamond"/>
        </w:rPr>
        <w:t xml:space="preserve">develop and </w:t>
      </w:r>
      <w:r>
        <w:rPr>
          <w:rFonts w:ascii="Garamond" w:hAnsi="Garamond"/>
        </w:rPr>
        <w:t xml:space="preserve">operate tourism concessions in TFCAs within SADC. </w:t>
      </w:r>
      <w:r w:rsidRPr="00D42477">
        <w:rPr>
          <w:rFonts w:ascii="Garamond" w:hAnsi="Garamond"/>
        </w:rPr>
        <w:t xml:space="preserve"> </w:t>
      </w:r>
    </w:p>
    <w:p w14:paraId="75F01049" w14:textId="25BB3203" w:rsidR="005A538F" w:rsidRDefault="005A538F" w:rsidP="006408C5">
      <w:pPr>
        <w:spacing w:line="240" w:lineRule="auto"/>
        <w:rPr>
          <w:rFonts w:ascii="Garamond" w:hAnsi="Garamond"/>
        </w:rPr>
      </w:pPr>
      <w:r>
        <w:rPr>
          <w:rFonts w:ascii="Garamond" w:hAnsi="Garamond"/>
        </w:rPr>
        <w:t xml:space="preserve">The </w:t>
      </w:r>
      <w:r w:rsidRPr="00AD4E5D">
        <w:rPr>
          <w:rFonts w:ascii="Garamond" w:hAnsi="Garamond"/>
          <w:b/>
        </w:rPr>
        <w:t>geographical scope</w:t>
      </w:r>
      <w:r>
        <w:rPr>
          <w:rFonts w:ascii="Garamond" w:hAnsi="Garamond"/>
        </w:rPr>
        <w:t xml:space="preserve"> of the guidelines relates to Southern African Development Community (SADC) countries. </w:t>
      </w:r>
      <w:r w:rsidR="003841E9">
        <w:rPr>
          <w:rFonts w:ascii="Garamond" w:hAnsi="Garamond"/>
        </w:rPr>
        <w:t xml:space="preserve"> </w:t>
      </w:r>
      <w:r>
        <w:rPr>
          <w:rFonts w:ascii="Garamond" w:hAnsi="Garamond"/>
        </w:rPr>
        <w:t>The type of TFCAs covered is predominately terrestrial, but include</w:t>
      </w:r>
      <w:r w:rsidR="003841E9">
        <w:rPr>
          <w:rFonts w:ascii="Garamond" w:hAnsi="Garamond"/>
        </w:rPr>
        <w:t xml:space="preserve">s </w:t>
      </w:r>
      <w:r>
        <w:rPr>
          <w:rFonts w:ascii="Garamond" w:hAnsi="Garamond"/>
        </w:rPr>
        <w:t>information</w:t>
      </w:r>
      <w:r w:rsidR="0032109E">
        <w:rPr>
          <w:rFonts w:ascii="Garamond" w:hAnsi="Garamond"/>
        </w:rPr>
        <w:t xml:space="preserve"> relevant to</w:t>
      </w:r>
      <w:r>
        <w:rPr>
          <w:rFonts w:ascii="Garamond" w:hAnsi="Garamond"/>
        </w:rPr>
        <w:t xml:space="preserve"> marine TFCAs too. </w:t>
      </w:r>
    </w:p>
    <w:p w14:paraId="4377EF58" w14:textId="0F31155C" w:rsidR="005A538F" w:rsidRDefault="005A538F" w:rsidP="006408C5">
      <w:pPr>
        <w:spacing w:line="240" w:lineRule="auto"/>
        <w:rPr>
          <w:rFonts w:ascii="Garamond" w:hAnsi="Garamond"/>
        </w:rPr>
      </w:pPr>
      <w:r>
        <w:rPr>
          <w:rFonts w:ascii="Garamond" w:hAnsi="Garamond"/>
        </w:rPr>
        <w:t xml:space="preserve">The </w:t>
      </w:r>
      <w:r w:rsidRPr="00AD4E5D">
        <w:rPr>
          <w:rFonts w:ascii="Garamond" w:hAnsi="Garamond"/>
          <w:b/>
        </w:rPr>
        <w:t>type</w:t>
      </w:r>
      <w:r w:rsidR="0032109E">
        <w:rPr>
          <w:rFonts w:ascii="Garamond" w:hAnsi="Garamond"/>
          <w:b/>
        </w:rPr>
        <w:t>s</w:t>
      </w:r>
      <w:r w:rsidRPr="00AD4E5D">
        <w:rPr>
          <w:rFonts w:ascii="Garamond" w:hAnsi="Garamond"/>
          <w:b/>
        </w:rPr>
        <w:t xml:space="preserve"> of tourism concessions</w:t>
      </w:r>
      <w:r>
        <w:rPr>
          <w:rFonts w:ascii="Garamond" w:hAnsi="Garamond"/>
        </w:rPr>
        <w:t xml:space="preserve"> addressed include:</w:t>
      </w:r>
    </w:p>
    <w:p w14:paraId="7E8D6584" w14:textId="197A560A" w:rsidR="005A538F" w:rsidRPr="005A538F" w:rsidRDefault="009A4878" w:rsidP="00F47607">
      <w:pPr>
        <w:pStyle w:val="ListParagraph"/>
        <w:numPr>
          <w:ilvl w:val="0"/>
          <w:numId w:val="4"/>
        </w:numPr>
        <w:spacing w:line="240" w:lineRule="auto"/>
        <w:rPr>
          <w:rFonts w:ascii="Garamond" w:hAnsi="Garamond"/>
        </w:rPr>
      </w:pPr>
      <w:r>
        <w:rPr>
          <w:rFonts w:ascii="Garamond" w:hAnsi="Garamond"/>
        </w:rPr>
        <w:t>Tourism products</w:t>
      </w:r>
      <w:r w:rsidR="005A538F" w:rsidRPr="005A538F">
        <w:rPr>
          <w:rFonts w:ascii="Garamond" w:hAnsi="Garamond"/>
        </w:rPr>
        <w:t xml:space="preserve"> that are located within one country, </w:t>
      </w:r>
      <w:r w:rsidR="0032109E">
        <w:rPr>
          <w:rFonts w:ascii="Garamond" w:hAnsi="Garamond"/>
        </w:rPr>
        <w:t xml:space="preserve">and </w:t>
      </w:r>
      <w:r w:rsidR="005A538F" w:rsidRPr="005A538F">
        <w:rPr>
          <w:rFonts w:ascii="Garamond" w:hAnsi="Garamond"/>
        </w:rPr>
        <w:t>within the boundaries of a TFCA</w:t>
      </w:r>
      <w:r w:rsidR="00D76150">
        <w:rPr>
          <w:rFonts w:ascii="Garamond" w:hAnsi="Garamond"/>
        </w:rPr>
        <w:t xml:space="preserve"> (e.g. accommodation; retail or restaurant facilities)</w:t>
      </w:r>
      <w:r w:rsidR="005A538F" w:rsidRPr="005A538F">
        <w:rPr>
          <w:rFonts w:ascii="Garamond" w:hAnsi="Garamond"/>
        </w:rPr>
        <w:t>; and</w:t>
      </w:r>
    </w:p>
    <w:p w14:paraId="6D04BEF0" w14:textId="729DFDA3" w:rsidR="005A538F" w:rsidRDefault="005A538F" w:rsidP="00F47607">
      <w:pPr>
        <w:pStyle w:val="ListParagraph"/>
        <w:numPr>
          <w:ilvl w:val="0"/>
          <w:numId w:val="4"/>
        </w:numPr>
        <w:spacing w:line="240" w:lineRule="auto"/>
        <w:rPr>
          <w:rFonts w:ascii="Garamond" w:hAnsi="Garamond"/>
        </w:rPr>
      </w:pPr>
      <w:r w:rsidRPr="005A538F">
        <w:rPr>
          <w:rFonts w:ascii="Garamond" w:hAnsi="Garamond"/>
        </w:rPr>
        <w:t xml:space="preserve">Transboundary tourism </w:t>
      </w:r>
      <w:r w:rsidR="009A4878">
        <w:rPr>
          <w:rFonts w:ascii="Garamond" w:hAnsi="Garamond"/>
        </w:rPr>
        <w:t>activities</w:t>
      </w:r>
      <w:r w:rsidRPr="005A538F">
        <w:rPr>
          <w:rFonts w:ascii="Garamond" w:hAnsi="Garamond"/>
        </w:rPr>
        <w:t xml:space="preserve">, spanning more </w:t>
      </w:r>
      <w:r w:rsidR="00D76150">
        <w:rPr>
          <w:rFonts w:ascii="Garamond" w:hAnsi="Garamond"/>
        </w:rPr>
        <w:t>than one country within a TFCA (e.g. transboundary races and routes)</w:t>
      </w:r>
      <w:r w:rsidR="005458A3">
        <w:rPr>
          <w:rFonts w:ascii="Garamond" w:hAnsi="Garamond"/>
        </w:rPr>
        <w:t>.</w:t>
      </w:r>
    </w:p>
    <w:p w14:paraId="63B63454" w14:textId="70DC0EE5" w:rsidR="006408C5" w:rsidRDefault="00B453D3" w:rsidP="0032109E">
      <w:pPr>
        <w:spacing w:line="240" w:lineRule="auto"/>
        <w:rPr>
          <w:rFonts w:ascii="Garamond" w:hAnsi="Garamond"/>
        </w:rPr>
      </w:pPr>
      <w:r>
        <w:rPr>
          <w:rFonts w:ascii="Garamond" w:hAnsi="Garamond"/>
        </w:rPr>
        <w:t xml:space="preserve">The guidelines are structured around a </w:t>
      </w:r>
      <w:r w:rsidRPr="00AD4E5D">
        <w:rPr>
          <w:rFonts w:ascii="Garamond" w:hAnsi="Garamond"/>
          <w:b/>
        </w:rPr>
        <w:t>step-by-step process</w:t>
      </w:r>
      <w:r>
        <w:rPr>
          <w:rFonts w:ascii="Garamond" w:hAnsi="Garamond"/>
        </w:rPr>
        <w:t xml:space="preserve"> relating to the development and operation of tourism concessions</w:t>
      </w:r>
      <w:r w:rsidR="0032109E">
        <w:rPr>
          <w:rFonts w:ascii="Garamond" w:hAnsi="Garamond"/>
        </w:rPr>
        <w:t>, including scoping, design and feasibility, procurement strate</w:t>
      </w:r>
      <w:r w:rsidR="00CE6DB1">
        <w:rPr>
          <w:rFonts w:ascii="Garamond" w:hAnsi="Garamond"/>
        </w:rPr>
        <w:t xml:space="preserve">gy, transaction management </w:t>
      </w:r>
      <w:r w:rsidR="0032109E">
        <w:rPr>
          <w:rFonts w:ascii="Garamond" w:hAnsi="Garamond"/>
        </w:rPr>
        <w:t xml:space="preserve">and contract management. </w:t>
      </w:r>
    </w:p>
    <w:p w14:paraId="6BBD0CF9" w14:textId="5A671A40" w:rsidR="00D42477" w:rsidRDefault="009A4878" w:rsidP="00D42477">
      <w:pPr>
        <w:spacing w:before="0" w:after="0" w:line="240" w:lineRule="auto"/>
        <w:jc w:val="left"/>
        <w:rPr>
          <w:rFonts w:ascii="Garamond" w:hAnsi="Garamond"/>
        </w:rPr>
      </w:pPr>
      <w:r>
        <w:rPr>
          <w:rFonts w:ascii="Garamond" w:hAnsi="Garamond"/>
        </w:rPr>
        <w:t xml:space="preserve">Kindly note that these are </w:t>
      </w:r>
      <w:r w:rsidRPr="009A4878">
        <w:rPr>
          <w:rFonts w:ascii="Garamond" w:hAnsi="Garamond"/>
          <w:b/>
        </w:rPr>
        <w:t>guidelines.</w:t>
      </w:r>
      <w:r>
        <w:rPr>
          <w:rFonts w:ascii="Garamond" w:hAnsi="Garamond"/>
        </w:rPr>
        <w:t xml:space="preserve"> This document is not a technical manual, </w:t>
      </w:r>
      <w:r w:rsidR="006549E2">
        <w:rPr>
          <w:rFonts w:ascii="Garamond" w:hAnsi="Garamond"/>
        </w:rPr>
        <w:t>nor</w:t>
      </w:r>
      <w:r>
        <w:rPr>
          <w:rFonts w:ascii="Garamond" w:hAnsi="Garamond"/>
        </w:rPr>
        <w:t xml:space="preserve"> is</w:t>
      </w:r>
      <w:r w:rsidR="006549E2">
        <w:rPr>
          <w:rFonts w:ascii="Garamond" w:hAnsi="Garamond"/>
        </w:rPr>
        <w:t xml:space="preserve"> it</w:t>
      </w:r>
      <w:r>
        <w:rPr>
          <w:rFonts w:ascii="Garamond" w:hAnsi="Garamond"/>
        </w:rPr>
        <w:t xml:space="preserve"> an exhaustive toolkit on how to do concessioning. R</w:t>
      </w:r>
      <w:r w:rsidR="00CC0AE7">
        <w:rPr>
          <w:rFonts w:ascii="Garamond" w:hAnsi="Garamond"/>
        </w:rPr>
        <w:t xml:space="preserve">eading it will not make you </w:t>
      </w:r>
      <w:r>
        <w:rPr>
          <w:rFonts w:ascii="Garamond" w:hAnsi="Garamond"/>
        </w:rPr>
        <w:t>a</w:t>
      </w:r>
      <w:r w:rsidR="0032109E">
        <w:rPr>
          <w:rFonts w:ascii="Garamond" w:hAnsi="Garamond"/>
        </w:rPr>
        <w:t>n expert in tourism concessions, but</w:t>
      </w:r>
      <w:r>
        <w:rPr>
          <w:rFonts w:ascii="Garamond" w:hAnsi="Garamond"/>
        </w:rPr>
        <w:t xml:space="preserve"> it will provide basic guidance, and links to additional res</w:t>
      </w:r>
      <w:r w:rsidR="00063DA6">
        <w:rPr>
          <w:rFonts w:ascii="Garamond" w:hAnsi="Garamond"/>
        </w:rPr>
        <w:t xml:space="preserve">ources and further information. </w:t>
      </w:r>
    </w:p>
    <w:p w14:paraId="0C030AAC" w14:textId="77777777" w:rsidR="00D42477" w:rsidRPr="006311F5" w:rsidRDefault="00D42477" w:rsidP="00D42477">
      <w:pPr>
        <w:spacing w:before="0" w:after="0" w:line="240" w:lineRule="auto"/>
        <w:jc w:val="left"/>
        <w:rPr>
          <w:rFonts w:ascii="Garamond" w:hAnsi="Garamond"/>
        </w:rPr>
      </w:pPr>
    </w:p>
    <w:p w14:paraId="60027146" w14:textId="63E99871" w:rsidR="006408C5" w:rsidRPr="006311F5" w:rsidRDefault="00785625" w:rsidP="006408C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9" w:name="_Toc269636321"/>
      <w:r>
        <w:rPr>
          <w:rFonts w:ascii="Garamond" w:hAnsi="Garamond"/>
        </w:rPr>
        <w:t>Target audience</w:t>
      </w:r>
      <w:bookmarkEnd w:id="9"/>
    </w:p>
    <w:p w14:paraId="372D523A" w14:textId="77777777" w:rsidR="009A4878" w:rsidRDefault="009A4878" w:rsidP="00D42477">
      <w:pPr>
        <w:spacing w:before="0" w:after="0" w:line="240" w:lineRule="auto"/>
        <w:jc w:val="left"/>
        <w:rPr>
          <w:rFonts w:ascii="Garamond" w:hAnsi="Garamond"/>
        </w:rPr>
      </w:pPr>
    </w:p>
    <w:p w14:paraId="4FC1FABF" w14:textId="35E3BDD0" w:rsidR="00AD4E5D" w:rsidRPr="00D42477" w:rsidRDefault="009A4878" w:rsidP="00D42477">
      <w:pPr>
        <w:spacing w:before="0" w:after="0" w:line="240" w:lineRule="auto"/>
        <w:jc w:val="left"/>
        <w:rPr>
          <w:rFonts w:ascii="Garamond" w:hAnsi="Garamond"/>
        </w:rPr>
      </w:pPr>
      <w:r>
        <w:rPr>
          <w:rFonts w:ascii="Garamond" w:hAnsi="Garamond"/>
        </w:rPr>
        <w:t xml:space="preserve">The </w:t>
      </w:r>
      <w:r w:rsidRPr="00AD4E5D">
        <w:rPr>
          <w:rFonts w:ascii="Garamond" w:hAnsi="Garamond"/>
          <w:b/>
        </w:rPr>
        <w:t>main audience</w:t>
      </w:r>
      <w:r>
        <w:rPr>
          <w:rFonts w:ascii="Garamond" w:hAnsi="Garamond"/>
        </w:rPr>
        <w:t xml:space="preserve"> for these guidelines </w:t>
      </w:r>
      <w:r w:rsidR="00D42477">
        <w:rPr>
          <w:rFonts w:ascii="Garamond" w:hAnsi="Garamond"/>
        </w:rPr>
        <w:t>includes</w:t>
      </w:r>
      <w:r>
        <w:rPr>
          <w:rFonts w:ascii="Garamond" w:hAnsi="Garamond"/>
        </w:rPr>
        <w:t xml:space="preserve"> </w:t>
      </w:r>
      <w:r w:rsidR="008967F9" w:rsidRPr="009A4878">
        <w:rPr>
          <w:rFonts w:ascii="Garamond" w:hAnsi="Garamond"/>
        </w:rPr>
        <w:t>TFCA coordinators; protected area authorities</w:t>
      </w:r>
      <w:r>
        <w:rPr>
          <w:rFonts w:ascii="Garamond" w:hAnsi="Garamond"/>
        </w:rPr>
        <w:t xml:space="preserve"> and </w:t>
      </w:r>
      <w:r w:rsidR="008967F9" w:rsidRPr="009A4878">
        <w:rPr>
          <w:rFonts w:ascii="Garamond" w:hAnsi="Garamond"/>
        </w:rPr>
        <w:t>ministries</w:t>
      </w:r>
      <w:r>
        <w:rPr>
          <w:rFonts w:ascii="Garamond" w:hAnsi="Garamond"/>
        </w:rPr>
        <w:t xml:space="preserve"> </w:t>
      </w:r>
      <w:r w:rsidR="00D42477">
        <w:rPr>
          <w:rFonts w:ascii="Garamond" w:hAnsi="Garamond"/>
        </w:rPr>
        <w:t xml:space="preserve">of environment and tourism </w:t>
      </w:r>
      <w:r>
        <w:rPr>
          <w:rFonts w:ascii="Garamond" w:hAnsi="Garamond"/>
        </w:rPr>
        <w:t xml:space="preserve">who seek to expand the </w:t>
      </w:r>
      <w:r w:rsidR="00D42477">
        <w:rPr>
          <w:rFonts w:ascii="Garamond" w:hAnsi="Garamond"/>
        </w:rPr>
        <w:t xml:space="preserve">level of tourism investment, and visitation, within TFCAs.  The audience also includes private sector investors </w:t>
      </w:r>
      <w:r w:rsidR="008967F9" w:rsidRPr="00D42477">
        <w:rPr>
          <w:rFonts w:ascii="Garamond" w:hAnsi="Garamond"/>
        </w:rPr>
        <w:t>interested in</w:t>
      </w:r>
      <w:r w:rsidR="00D42477">
        <w:rPr>
          <w:rFonts w:ascii="Garamond" w:hAnsi="Garamond"/>
        </w:rPr>
        <w:t xml:space="preserve"> establishing</w:t>
      </w:r>
      <w:r w:rsidR="008967F9" w:rsidRPr="00D42477">
        <w:rPr>
          <w:rFonts w:ascii="Garamond" w:hAnsi="Garamond"/>
        </w:rPr>
        <w:t xml:space="preserve"> transboundary concessions</w:t>
      </w:r>
      <w:r w:rsidR="00D42477">
        <w:rPr>
          <w:rFonts w:ascii="Garamond" w:hAnsi="Garamond"/>
        </w:rPr>
        <w:t xml:space="preserve">, and practitioners providing technical support to the process (e.g. NGOs, donor agencies, consultants). </w:t>
      </w:r>
    </w:p>
    <w:p w14:paraId="0EF92902" w14:textId="77777777" w:rsidR="008967F9" w:rsidRPr="008967F9" w:rsidRDefault="008967F9" w:rsidP="008967F9">
      <w:pPr>
        <w:pStyle w:val="ListParagraph"/>
        <w:spacing w:before="0" w:after="0" w:line="240" w:lineRule="auto"/>
        <w:jc w:val="left"/>
        <w:rPr>
          <w:rFonts w:ascii="Garamond" w:hAnsi="Garamond"/>
        </w:rPr>
      </w:pPr>
    </w:p>
    <w:p w14:paraId="557CD2D1" w14:textId="6E3A539F" w:rsidR="006B1386" w:rsidRPr="006311F5" w:rsidRDefault="00785625" w:rsidP="006B1386">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10" w:name="_Toc269636322"/>
      <w:r>
        <w:rPr>
          <w:rFonts w:ascii="Garamond" w:hAnsi="Garamond"/>
        </w:rPr>
        <w:t>Background to the guidelines</w:t>
      </w:r>
      <w:bookmarkEnd w:id="10"/>
    </w:p>
    <w:p w14:paraId="29FA03CE" w14:textId="0D87D128" w:rsidR="0040235F" w:rsidRDefault="0040235F">
      <w:pPr>
        <w:spacing w:before="0" w:after="0" w:line="240" w:lineRule="auto"/>
        <w:jc w:val="left"/>
        <w:rPr>
          <w:rFonts w:ascii="Garamond" w:hAnsi="Garamond"/>
        </w:rPr>
      </w:pPr>
    </w:p>
    <w:p w14:paraId="0D85BB2E" w14:textId="027B8CF7" w:rsidR="00AD4E5D" w:rsidRDefault="0032109E" w:rsidP="00AD4E5D">
      <w:pPr>
        <w:spacing w:before="0" w:after="0" w:line="240" w:lineRule="auto"/>
        <w:jc w:val="left"/>
        <w:rPr>
          <w:rFonts w:ascii="Garamond" w:hAnsi="Garamond"/>
        </w:rPr>
      </w:pPr>
      <w:r>
        <w:rPr>
          <w:rFonts w:ascii="Garamond" w:hAnsi="Garamond"/>
        </w:rPr>
        <w:t xml:space="preserve">Individual countries have legal frameworks that relate to concessions (see </w:t>
      </w:r>
      <w:r w:rsidR="00BB403C">
        <w:rPr>
          <w:rFonts w:ascii="Garamond" w:hAnsi="Garamond"/>
        </w:rPr>
        <w:t xml:space="preserve">section </w:t>
      </w:r>
      <w:r w:rsidR="00BB403C">
        <w:rPr>
          <w:rFonts w:ascii="Garamond" w:hAnsi="Garamond"/>
        </w:rPr>
        <w:fldChar w:fldCharType="begin"/>
      </w:r>
      <w:r w:rsidR="00BB403C">
        <w:rPr>
          <w:rFonts w:ascii="Garamond" w:hAnsi="Garamond"/>
        </w:rPr>
        <w:instrText xml:space="preserve"> REF _Ref269114662 \r \h </w:instrText>
      </w:r>
      <w:r w:rsidR="00BB403C">
        <w:rPr>
          <w:rFonts w:ascii="Garamond" w:hAnsi="Garamond"/>
        </w:rPr>
      </w:r>
      <w:r w:rsidR="00BB403C">
        <w:rPr>
          <w:rFonts w:ascii="Garamond" w:hAnsi="Garamond"/>
        </w:rPr>
        <w:fldChar w:fldCharType="separate"/>
      </w:r>
      <w:r w:rsidR="00BB403C">
        <w:rPr>
          <w:rFonts w:ascii="Garamond" w:hAnsi="Garamond"/>
        </w:rPr>
        <w:t>3.2.1</w:t>
      </w:r>
      <w:r w:rsidR="00BB403C">
        <w:rPr>
          <w:rFonts w:ascii="Garamond" w:hAnsi="Garamond"/>
        </w:rPr>
        <w:fldChar w:fldCharType="end"/>
      </w:r>
      <w:r w:rsidR="00BB403C">
        <w:rPr>
          <w:rFonts w:ascii="Garamond" w:hAnsi="Garamond"/>
        </w:rPr>
        <w:t xml:space="preserve"> and Annex 4.4)</w:t>
      </w:r>
      <w:r>
        <w:rPr>
          <w:rFonts w:ascii="Garamond" w:hAnsi="Garamond"/>
        </w:rPr>
        <w:t>, and at a regional level, t</w:t>
      </w:r>
      <w:r w:rsidR="001D790D">
        <w:rPr>
          <w:rFonts w:ascii="Garamond" w:hAnsi="Garamond"/>
        </w:rPr>
        <w:t>he two</w:t>
      </w:r>
      <w:r w:rsidR="00C11844">
        <w:rPr>
          <w:rFonts w:ascii="Garamond" w:hAnsi="Garamond"/>
        </w:rPr>
        <w:t xml:space="preserve"> main SADC policies that underlie</w:t>
      </w:r>
      <w:r w:rsidR="001D790D">
        <w:rPr>
          <w:rFonts w:ascii="Garamond" w:hAnsi="Garamond"/>
        </w:rPr>
        <w:t xml:space="preserve"> these guidelines include protocols on tou</w:t>
      </w:r>
      <w:r w:rsidR="00CE6DB1">
        <w:rPr>
          <w:rFonts w:ascii="Garamond" w:hAnsi="Garamond"/>
        </w:rPr>
        <w:t>rism and wildlife c</w:t>
      </w:r>
      <w:r w:rsidR="00AD4E5D">
        <w:rPr>
          <w:rFonts w:ascii="Garamond" w:hAnsi="Garamond"/>
        </w:rPr>
        <w:t xml:space="preserve">onservation.   </w:t>
      </w:r>
    </w:p>
    <w:p w14:paraId="395ADC64" w14:textId="77777777" w:rsidR="00AD4E5D" w:rsidRDefault="00AD4E5D" w:rsidP="00AD4E5D">
      <w:pPr>
        <w:spacing w:before="0" w:after="0" w:line="240" w:lineRule="auto"/>
        <w:jc w:val="left"/>
        <w:rPr>
          <w:rFonts w:ascii="Garamond" w:hAnsi="Garamond"/>
        </w:rPr>
      </w:pPr>
    </w:p>
    <w:p w14:paraId="2B2D7423" w14:textId="5E6A9173" w:rsidR="00AD4E5D" w:rsidRDefault="001D790D" w:rsidP="00AD4E5D">
      <w:pPr>
        <w:spacing w:before="0" w:after="0" w:line="240" w:lineRule="auto"/>
        <w:jc w:val="left"/>
        <w:rPr>
          <w:rFonts w:ascii="Garamond" w:hAnsi="Garamond"/>
        </w:rPr>
      </w:pPr>
      <w:r w:rsidRPr="00AD4E5D">
        <w:rPr>
          <w:rFonts w:ascii="Garamond" w:hAnsi="Garamond"/>
        </w:rPr>
        <w:t>The</w:t>
      </w:r>
      <w:r w:rsidR="00E677AF" w:rsidRPr="00AD4E5D">
        <w:rPr>
          <w:rFonts w:ascii="Garamond" w:hAnsi="Garamond"/>
        </w:rPr>
        <w:t xml:space="preserve"> </w:t>
      </w:r>
      <w:r w:rsidR="00E677AF" w:rsidRPr="00AD4E5D">
        <w:rPr>
          <w:rFonts w:ascii="Garamond" w:hAnsi="Garamond"/>
          <w:b/>
        </w:rPr>
        <w:t>SADC Protocol on the Development of Tourism</w:t>
      </w:r>
      <w:r w:rsidR="00E677AF" w:rsidRPr="00AD4E5D">
        <w:rPr>
          <w:rFonts w:ascii="Garamond" w:hAnsi="Garamond"/>
        </w:rPr>
        <w:t xml:space="preserve"> </w:t>
      </w:r>
      <w:r w:rsidR="00E677AF" w:rsidRPr="00AD4E5D">
        <w:rPr>
          <w:rFonts w:ascii="Garamond" w:hAnsi="Garamond"/>
          <w:b/>
        </w:rPr>
        <w:t>(1998)</w:t>
      </w:r>
      <w:r w:rsidR="00E677AF" w:rsidRPr="00AD4E5D">
        <w:rPr>
          <w:rFonts w:ascii="Garamond" w:hAnsi="Garamond"/>
        </w:rPr>
        <w:t xml:space="preserve">. This </w:t>
      </w:r>
      <w:r w:rsidR="00E677AF" w:rsidRPr="00AD4E5D">
        <w:rPr>
          <w:rFonts w:ascii="Garamond" w:hAnsi="Garamond"/>
          <w:color w:val="000000"/>
        </w:rPr>
        <w:t>describes</w:t>
      </w:r>
      <w:r w:rsidR="00E677AF" w:rsidRPr="00AD4E5D">
        <w:rPr>
          <w:rFonts w:ascii="Garamond" w:hAnsi="Garamond"/>
        </w:rPr>
        <w:t xml:space="preserve"> SADC’s objective to build upon the region’s potential as a tourist destination. The protocol states that SADC aims to establish a more even distribution of tourism development across the region, and also to create a positive enabling environment for a tourism industry that can support socioeconomic development. </w:t>
      </w:r>
      <w:r w:rsidR="00D519D0" w:rsidRPr="00AD4E5D">
        <w:rPr>
          <w:rFonts w:ascii="Garamond" w:hAnsi="Garamond"/>
        </w:rPr>
        <w:t xml:space="preserve">Member States agree </w:t>
      </w:r>
      <w:r w:rsidR="00E677AF" w:rsidRPr="00AD4E5D">
        <w:rPr>
          <w:rFonts w:ascii="Garamond" w:hAnsi="Garamond"/>
        </w:rPr>
        <w:t>to encourage private sector involvement in the tourism sector, through mechanisms including through incentives, infrastructure, and appropriate regulatory frameworks</w:t>
      </w:r>
      <w:r w:rsidRPr="00AD4E5D">
        <w:rPr>
          <w:rFonts w:ascii="Garamond" w:hAnsi="Garamond"/>
        </w:rPr>
        <w:t>.</w:t>
      </w:r>
      <w:r w:rsidR="00D519D0" w:rsidRPr="00D519D0">
        <w:rPr>
          <w:rStyle w:val="FootnoteReference"/>
          <w:rFonts w:ascii="Garamond" w:hAnsi="Garamond"/>
        </w:rPr>
        <w:footnoteReference w:id="7"/>
      </w:r>
      <w:r w:rsidRPr="00AD4E5D">
        <w:rPr>
          <w:rFonts w:ascii="Garamond" w:hAnsi="Garamond"/>
        </w:rPr>
        <w:t xml:space="preserve"> </w:t>
      </w:r>
      <w:r w:rsidR="00AD4E5D">
        <w:rPr>
          <w:rFonts w:ascii="Garamond" w:hAnsi="Garamond"/>
        </w:rPr>
        <w:t xml:space="preserve">  </w:t>
      </w:r>
    </w:p>
    <w:p w14:paraId="211A6AF3" w14:textId="77777777" w:rsidR="00AD4E5D" w:rsidRDefault="00AD4E5D" w:rsidP="00AD4E5D">
      <w:pPr>
        <w:spacing w:before="0" w:after="0" w:line="240" w:lineRule="auto"/>
        <w:jc w:val="left"/>
        <w:rPr>
          <w:rFonts w:ascii="Garamond" w:hAnsi="Garamond"/>
        </w:rPr>
      </w:pPr>
    </w:p>
    <w:p w14:paraId="306DAB34" w14:textId="09CD3943" w:rsidR="00D519D0" w:rsidRPr="00AD4E5D" w:rsidRDefault="00FC64E9" w:rsidP="00AD4E5D">
      <w:pPr>
        <w:spacing w:before="0" w:after="0" w:line="240" w:lineRule="auto"/>
        <w:jc w:val="left"/>
        <w:rPr>
          <w:rFonts w:ascii="Garamond" w:hAnsi="Garamond"/>
        </w:rPr>
      </w:pPr>
      <w:r w:rsidRPr="00AD4E5D">
        <w:rPr>
          <w:rFonts w:ascii="Garamond" w:hAnsi="Garamond"/>
        </w:rPr>
        <w:t>One of the objectives of t</w:t>
      </w:r>
      <w:r w:rsidR="00D519D0" w:rsidRPr="00AD4E5D">
        <w:rPr>
          <w:rFonts w:ascii="Garamond" w:hAnsi="Garamond"/>
        </w:rPr>
        <w:t xml:space="preserve">he </w:t>
      </w:r>
      <w:r w:rsidR="00D519D0" w:rsidRPr="00AD4E5D">
        <w:rPr>
          <w:rFonts w:ascii="Garamond" w:hAnsi="Garamond"/>
          <w:b/>
        </w:rPr>
        <w:t>SADC Protocol on Wildlife Conservation and Law Enforcement (1999</w:t>
      </w:r>
      <w:r w:rsidR="00D519D0" w:rsidRPr="00AD4E5D">
        <w:rPr>
          <w:rFonts w:ascii="Garamond" w:hAnsi="Garamond"/>
        </w:rPr>
        <w:t>)</w:t>
      </w:r>
      <w:r w:rsidRPr="00AD4E5D">
        <w:rPr>
          <w:rFonts w:ascii="Garamond" w:hAnsi="Garamond"/>
        </w:rPr>
        <w:t xml:space="preserve"> is to promote the conservation of shared wildlife resources through establishing TFCAs. The protocol </w:t>
      </w:r>
      <w:r w:rsidR="001D790D" w:rsidRPr="00AD4E5D">
        <w:rPr>
          <w:rFonts w:ascii="Garamond" w:hAnsi="Garamond"/>
        </w:rPr>
        <w:t>encourages</w:t>
      </w:r>
      <w:r w:rsidR="00A15232" w:rsidRPr="00AD4E5D">
        <w:rPr>
          <w:rFonts w:ascii="Garamond" w:hAnsi="Garamond"/>
        </w:rPr>
        <w:t xml:space="preserve"> Member States to </w:t>
      </w:r>
      <w:r w:rsidR="001D790D" w:rsidRPr="00AD4E5D">
        <w:rPr>
          <w:rFonts w:ascii="Garamond" w:hAnsi="Garamond"/>
        </w:rPr>
        <w:t>develop economic and social incentives for conservation and sustainable use of wildlife.</w:t>
      </w:r>
      <w:r w:rsidR="00A15232">
        <w:rPr>
          <w:rStyle w:val="FootnoteReference"/>
          <w:rFonts w:ascii="Garamond" w:hAnsi="Garamond"/>
        </w:rPr>
        <w:footnoteReference w:id="8"/>
      </w:r>
    </w:p>
    <w:p w14:paraId="7DAB1BFB" w14:textId="77777777" w:rsidR="00E677AF" w:rsidRDefault="00E677AF" w:rsidP="00E677AF">
      <w:pPr>
        <w:pStyle w:val="NormalWeb"/>
        <w:shd w:val="clear" w:color="auto" w:fill="FFFFFF"/>
        <w:spacing w:after="0"/>
      </w:pPr>
    </w:p>
    <w:p w14:paraId="641FF01E" w14:textId="1AF53127" w:rsidR="00785625" w:rsidRDefault="00785625">
      <w:pPr>
        <w:spacing w:before="0" w:after="0" w:line="240" w:lineRule="auto"/>
        <w:jc w:val="left"/>
        <w:rPr>
          <w:rFonts w:ascii="Garamond" w:hAnsi="Garamond"/>
        </w:rPr>
      </w:pPr>
    </w:p>
    <w:p w14:paraId="37DCF5F2" w14:textId="77777777" w:rsidR="00D1049F" w:rsidRPr="006311F5" w:rsidRDefault="00D1049F" w:rsidP="00D1049F">
      <w:pPr>
        <w:spacing w:before="0" w:after="0" w:line="240" w:lineRule="auto"/>
        <w:rPr>
          <w:rFonts w:ascii="Garamond" w:hAnsi="Garamond"/>
        </w:rPr>
      </w:pPr>
    </w:p>
    <w:p w14:paraId="2FEB2C58" w14:textId="0FE035F3" w:rsidR="00E639DC" w:rsidRPr="006311F5" w:rsidRDefault="00785625" w:rsidP="003D156D">
      <w:pPr>
        <w:pStyle w:val="Heading1"/>
        <w:shd w:val="clear" w:color="auto" w:fill="4F6228"/>
        <w:tabs>
          <w:tab w:val="num" w:pos="1090"/>
        </w:tabs>
        <w:spacing w:before="0" w:line="240" w:lineRule="auto"/>
        <w:ind w:left="426"/>
        <w:rPr>
          <w:rFonts w:ascii="Garamond" w:hAnsi="Garamond"/>
          <w:sz w:val="24"/>
          <w:szCs w:val="24"/>
        </w:rPr>
      </w:pPr>
      <w:bookmarkStart w:id="11" w:name="_Toc269636323"/>
      <w:r>
        <w:rPr>
          <w:rFonts w:ascii="Garamond" w:hAnsi="Garamond"/>
          <w:sz w:val="24"/>
          <w:szCs w:val="24"/>
        </w:rPr>
        <w:t>Concessioning process</w:t>
      </w:r>
      <w:bookmarkEnd w:id="11"/>
    </w:p>
    <w:p w14:paraId="5D998C89" w14:textId="77777777" w:rsidR="00352F1B" w:rsidRDefault="00352F1B" w:rsidP="00352F1B">
      <w:pPr>
        <w:pStyle w:val="ListParagraph"/>
        <w:spacing w:before="0" w:after="0" w:line="240" w:lineRule="auto"/>
        <w:ind w:left="0"/>
        <w:rPr>
          <w:rFonts w:ascii="Garamond" w:hAnsi="Garamond"/>
          <w:color w:val="000000"/>
          <w:sz w:val="24"/>
          <w:szCs w:val="24"/>
        </w:rPr>
      </w:pPr>
    </w:p>
    <w:p w14:paraId="3783C19E" w14:textId="718A9439" w:rsidR="00785625" w:rsidRDefault="00BB403C" w:rsidP="00352F1B">
      <w:pPr>
        <w:pStyle w:val="ListParagraph"/>
        <w:spacing w:before="0" w:after="0" w:line="240" w:lineRule="auto"/>
        <w:ind w:left="0"/>
        <w:rPr>
          <w:rFonts w:ascii="Garamond" w:hAnsi="Garamond"/>
        </w:rPr>
      </w:pPr>
      <w:r>
        <w:rPr>
          <w:rFonts w:ascii="Garamond" w:hAnsi="Garamond"/>
        </w:rPr>
        <w:t xml:space="preserve">The concessioning process followed in this guideline is outlined below. </w:t>
      </w:r>
    </w:p>
    <w:p w14:paraId="4B6B618F" w14:textId="77777777" w:rsidR="00BB403C" w:rsidRDefault="00BB403C" w:rsidP="00352F1B">
      <w:pPr>
        <w:pStyle w:val="ListParagraph"/>
        <w:spacing w:before="0" w:after="0" w:line="240" w:lineRule="auto"/>
        <w:ind w:left="0"/>
        <w:rPr>
          <w:rFonts w:ascii="Garamond" w:hAnsi="Garamond"/>
        </w:rPr>
      </w:pPr>
    </w:p>
    <w:p w14:paraId="6C653069" w14:textId="77777777" w:rsidR="00BB403C" w:rsidRDefault="00BB403C" w:rsidP="00352F1B">
      <w:pPr>
        <w:pStyle w:val="ListParagraph"/>
        <w:spacing w:before="0" w:after="0" w:line="240" w:lineRule="auto"/>
        <w:ind w:left="0"/>
        <w:rPr>
          <w:rFonts w:ascii="Garamond" w:hAnsi="Garamond"/>
          <w:color w:val="000000"/>
          <w:sz w:val="24"/>
          <w:szCs w:val="24"/>
        </w:rPr>
      </w:pPr>
    </w:p>
    <w:p w14:paraId="44CD2927" w14:textId="0FBC0A5E" w:rsidR="00BB403C" w:rsidRDefault="00D45F0D" w:rsidP="00352F1B">
      <w:pPr>
        <w:pStyle w:val="ListParagraph"/>
        <w:spacing w:before="0" w:after="0" w:line="240" w:lineRule="auto"/>
        <w:ind w:left="0"/>
        <w:rPr>
          <w:rFonts w:ascii="Garamond" w:hAnsi="Garamond"/>
          <w:color w:val="000000"/>
          <w:sz w:val="24"/>
          <w:szCs w:val="24"/>
        </w:rPr>
      </w:pPr>
      <w:r w:rsidRPr="00D45F0D">
        <w:rPr>
          <w:rFonts w:ascii="Garamond" w:hAnsi="Garamond"/>
          <w:noProof/>
          <w:color w:val="000000"/>
          <w:sz w:val="24"/>
          <w:szCs w:val="24"/>
        </w:rPr>
        <w:drawing>
          <wp:inline distT="0" distB="0" distL="0" distR="0" wp14:anchorId="3F2D37FE" wp14:editId="44C9D9E0">
            <wp:extent cx="2743200" cy="4224655"/>
            <wp:effectExtent l="50800" t="0" r="25400" b="4254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A798BD" w14:textId="3BE67AAF" w:rsidR="005662D1" w:rsidRDefault="005662D1">
      <w:pPr>
        <w:spacing w:before="0" w:after="0" w:line="240" w:lineRule="auto"/>
        <w:jc w:val="left"/>
        <w:rPr>
          <w:rFonts w:ascii="Garamond" w:hAnsi="Garamond"/>
          <w:color w:val="000000"/>
          <w:sz w:val="24"/>
          <w:szCs w:val="24"/>
        </w:rPr>
      </w:pPr>
      <w:r>
        <w:rPr>
          <w:rFonts w:ascii="Garamond" w:hAnsi="Garamond"/>
          <w:color w:val="000000"/>
          <w:sz w:val="24"/>
          <w:szCs w:val="24"/>
        </w:rPr>
        <w:br w:type="page"/>
      </w:r>
    </w:p>
    <w:p w14:paraId="13FD70CE" w14:textId="77777777" w:rsidR="00785625" w:rsidRDefault="00785625" w:rsidP="00352F1B">
      <w:pPr>
        <w:pStyle w:val="ListParagraph"/>
        <w:spacing w:before="0" w:after="0" w:line="240" w:lineRule="auto"/>
        <w:ind w:left="0"/>
        <w:rPr>
          <w:rFonts w:ascii="Garamond" w:hAnsi="Garamond"/>
          <w:color w:val="000000"/>
          <w:sz w:val="24"/>
          <w:szCs w:val="24"/>
        </w:rPr>
      </w:pPr>
    </w:p>
    <w:p w14:paraId="67C62ACA" w14:textId="6FF98817" w:rsidR="00D1049F" w:rsidRPr="006311F5" w:rsidRDefault="00BB403C" w:rsidP="00D1049F">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12" w:name="_Toc269636324"/>
      <w:r>
        <w:rPr>
          <w:rFonts w:ascii="Garamond" w:hAnsi="Garamond"/>
        </w:rPr>
        <w:t>Step</w:t>
      </w:r>
      <w:r w:rsidR="00785625">
        <w:rPr>
          <w:rFonts w:ascii="Garamond" w:hAnsi="Garamond"/>
        </w:rPr>
        <w:t xml:space="preserve"> 1: Scoping</w:t>
      </w:r>
      <w:bookmarkEnd w:id="12"/>
    </w:p>
    <w:p w14:paraId="0B4A77DF" w14:textId="2359275B" w:rsidR="00785625" w:rsidRPr="00391870" w:rsidRDefault="00345DD4" w:rsidP="00391870">
      <w:pPr>
        <w:spacing w:before="0" w:after="0" w:line="240" w:lineRule="auto"/>
        <w:jc w:val="left"/>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391870" w:rsidRPr="00391870">
        <w:rPr>
          <w:rFonts w:ascii="Garamond" w:hAnsi="Garamond"/>
          <w:highlight w:val="yellow"/>
        </w:rPr>
        <w:t>2 pages</w:t>
      </w:r>
    </w:p>
    <w:p w14:paraId="7C9FC8F1" w14:textId="77777777" w:rsidR="00D45F0D" w:rsidRDefault="00D45F0D" w:rsidP="00391870">
      <w:pPr>
        <w:spacing w:before="0" w:after="0" w:line="240" w:lineRule="auto"/>
        <w:jc w:val="left"/>
        <w:rPr>
          <w:rFonts w:ascii="Garamond" w:hAnsi="Garamond"/>
        </w:rPr>
      </w:pPr>
    </w:p>
    <w:p w14:paraId="027379BC" w14:textId="361A9094" w:rsidR="00391870" w:rsidRDefault="00391870" w:rsidP="00391870">
      <w:pPr>
        <w:spacing w:before="0" w:after="0" w:line="240" w:lineRule="auto"/>
        <w:jc w:val="left"/>
        <w:rPr>
          <w:rFonts w:ascii="Garamond" w:hAnsi="Garamond"/>
        </w:rPr>
      </w:pPr>
      <w:r>
        <w:rPr>
          <w:rFonts w:ascii="Garamond" w:hAnsi="Garamond"/>
        </w:rPr>
        <w:t xml:space="preserve">Information gathered during the Scoping step is used to establish whether concessioning is </w:t>
      </w:r>
      <w:r w:rsidR="00CB6A63">
        <w:rPr>
          <w:rFonts w:ascii="Garamond" w:hAnsi="Garamond"/>
        </w:rPr>
        <w:t xml:space="preserve">an appropriate and viable option for a TFCA.  This step helps authorities to decide whether to proceed or not. </w:t>
      </w:r>
      <w:r>
        <w:rPr>
          <w:rFonts w:ascii="Garamond" w:hAnsi="Garamond"/>
        </w:rPr>
        <w:t xml:space="preserve">  </w:t>
      </w:r>
    </w:p>
    <w:p w14:paraId="6F5E60F8" w14:textId="77777777" w:rsidR="00391870" w:rsidRPr="00391870" w:rsidRDefault="00391870" w:rsidP="00391870">
      <w:pPr>
        <w:spacing w:before="0" w:after="0" w:line="240" w:lineRule="auto"/>
        <w:jc w:val="left"/>
        <w:rPr>
          <w:rFonts w:ascii="Garamond" w:hAnsi="Garamond"/>
        </w:rPr>
      </w:pPr>
    </w:p>
    <w:p w14:paraId="67E2D2F6" w14:textId="0F0EEE90" w:rsidR="00785625" w:rsidRPr="00681690" w:rsidRDefault="00D45F0D" w:rsidP="00681690">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13FFE6FA" wp14:editId="151CDFA2">
            <wp:extent cx="2944283" cy="867833"/>
            <wp:effectExtent l="50800" t="50800" r="27940" b="977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54D5E8" w14:textId="664D40E5" w:rsidR="00785625" w:rsidRDefault="004E7B90" w:rsidP="00785625">
      <w:pPr>
        <w:pStyle w:val="Heading3"/>
        <w:rPr>
          <w:rFonts w:ascii="Garamond" w:hAnsi="Garamond"/>
        </w:rPr>
      </w:pPr>
      <w:bookmarkStart w:id="13" w:name="_Ref268855926"/>
      <w:bookmarkStart w:id="14" w:name="_Toc269636325"/>
      <w:r>
        <w:rPr>
          <w:rFonts w:ascii="Garamond" w:hAnsi="Garamond"/>
        </w:rPr>
        <w:t>G</w:t>
      </w:r>
      <w:r w:rsidR="00785625">
        <w:rPr>
          <w:rFonts w:ascii="Garamond" w:hAnsi="Garamond"/>
        </w:rPr>
        <w:t>oals, motivations and objectives</w:t>
      </w:r>
      <w:bookmarkEnd w:id="13"/>
      <w:bookmarkEnd w:id="14"/>
    </w:p>
    <w:p w14:paraId="03C98258" w14:textId="77777777" w:rsidR="006E4086" w:rsidRDefault="006E4086" w:rsidP="00E87144">
      <w:pPr>
        <w:spacing w:before="0" w:after="0" w:line="240" w:lineRule="auto"/>
        <w:rPr>
          <w:rFonts w:ascii="Garamond" w:hAnsi="Garamond"/>
        </w:rPr>
      </w:pPr>
    </w:p>
    <w:p w14:paraId="47F6ACAF" w14:textId="646EEF92" w:rsidR="00F12E48" w:rsidRDefault="00F12E48" w:rsidP="00E87144">
      <w:pPr>
        <w:spacing w:before="0" w:after="0" w:line="240" w:lineRule="auto"/>
        <w:rPr>
          <w:rFonts w:ascii="Garamond" w:hAnsi="Garamond"/>
        </w:rPr>
      </w:pPr>
      <w:r>
        <w:rPr>
          <w:rFonts w:ascii="Garamond" w:hAnsi="Garamond"/>
        </w:rPr>
        <w:t>Establishing the goals, motivations and objectives for concessions at the beginning is important to ensure that the most relevant program design is created, and that the key stakeholders</w:t>
      </w:r>
      <w:r w:rsidR="003D4418">
        <w:rPr>
          <w:rFonts w:ascii="Garamond" w:hAnsi="Garamond"/>
        </w:rPr>
        <w:t xml:space="preserve"> are</w:t>
      </w:r>
      <w:r>
        <w:rPr>
          <w:rFonts w:ascii="Garamond" w:hAnsi="Garamond"/>
        </w:rPr>
        <w:t xml:space="preserve"> </w:t>
      </w:r>
      <w:r w:rsidR="00D96C03">
        <w:rPr>
          <w:rFonts w:ascii="Garamond" w:hAnsi="Garamond"/>
        </w:rPr>
        <w:t xml:space="preserve">agreed and </w:t>
      </w:r>
      <w:r w:rsidR="003D4418">
        <w:rPr>
          <w:rFonts w:ascii="Garamond" w:hAnsi="Garamond"/>
        </w:rPr>
        <w:t xml:space="preserve">share </w:t>
      </w:r>
      <w:r w:rsidR="00D96C03">
        <w:rPr>
          <w:rFonts w:ascii="Garamond" w:hAnsi="Garamond"/>
        </w:rPr>
        <w:t xml:space="preserve">realistic expectations. </w:t>
      </w:r>
      <w:r>
        <w:rPr>
          <w:rFonts w:ascii="Garamond" w:hAnsi="Garamond"/>
        </w:rPr>
        <w:t xml:space="preserve"> </w:t>
      </w:r>
    </w:p>
    <w:p w14:paraId="649A1965" w14:textId="77777777" w:rsidR="006E4086" w:rsidRDefault="006E4086" w:rsidP="00E87144">
      <w:pPr>
        <w:spacing w:before="0" w:after="0" w:line="240" w:lineRule="auto"/>
        <w:rPr>
          <w:rFonts w:ascii="Garamond" w:hAnsi="Garamond"/>
        </w:rPr>
      </w:pPr>
    </w:p>
    <w:p w14:paraId="047F0243" w14:textId="179AA10F" w:rsidR="00D96C03" w:rsidRDefault="00D96C03" w:rsidP="00E87144">
      <w:pPr>
        <w:spacing w:before="0" w:after="0" w:line="240" w:lineRule="auto"/>
        <w:rPr>
          <w:rFonts w:ascii="Garamond" w:hAnsi="Garamond"/>
        </w:rPr>
      </w:pPr>
      <w:r>
        <w:rPr>
          <w:rFonts w:ascii="Garamond" w:hAnsi="Garamond"/>
        </w:rPr>
        <w:t>Ask a series of questions of the concession</w:t>
      </w:r>
      <w:r w:rsidR="00B26C4E">
        <w:rPr>
          <w:rFonts w:ascii="Garamond" w:hAnsi="Garamond"/>
        </w:rPr>
        <w:t>ing</w:t>
      </w:r>
      <w:r>
        <w:rPr>
          <w:rFonts w:ascii="Garamond" w:hAnsi="Garamond"/>
        </w:rPr>
        <w:t xml:space="preserve"> proponent</w:t>
      </w:r>
      <w:r w:rsidR="00B26C4E">
        <w:rPr>
          <w:rFonts w:ascii="Garamond" w:hAnsi="Garamond"/>
        </w:rPr>
        <w:t>s</w:t>
      </w:r>
      <w:r>
        <w:rPr>
          <w:rFonts w:ascii="Garamond" w:hAnsi="Garamond"/>
        </w:rPr>
        <w:t xml:space="preserve"> </w:t>
      </w:r>
      <w:r w:rsidR="00B26C4E">
        <w:rPr>
          <w:rFonts w:ascii="Garamond" w:hAnsi="Garamond"/>
        </w:rPr>
        <w:t>(e.g.</w:t>
      </w:r>
      <w:r w:rsidR="003D4418">
        <w:rPr>
          <w:rFonts w:ascii="Garamond" w:hAnsi="Garamond"/>
        </w:rPr>
        <w:t xml:space="preserve"> the Protected Area Authority (PA</w:t>
      </w:r>
      <w:r>
        <w:rPr>
          <w:rFonts w:ascii="Garamond" w:hAnsi="Garamond"/>
        </w:rPr>
        <w:t>A)</w:t>
      </w:r>
      <w:r w:rsidR="00B26C4E">
        <w:rPr>
          <w:rFonts w:ascii="Garamond" w:hAnsi="Garamond"/>
        </w:rPr>
        <w:t>; TFCA coordination unit)</w:t>
      </w:r>
      <w:r>
        <w:rPr>
          <w:rFonts w:ascii="Garamond" w:hAnsi="Garamond"/>
        </w:rPr>
        <w:t>, including:</w:t>
      </w:r>
    </w:p>
    <w:p w14:paraId="06CD3713" w14:textId="77777777" w:rsidR="006E4086" w:rsidRDefault="006E4086" w:rsidP="00E87144">
      <w:pPr>
        <w:spacing w:before="0" w:after="0" w:line="240" w:lineRule="auto"/>
        <w:rPr>
          <w:rFonts w:ascii="Garamond" w:hAnsi="Garamond"/>
        </w:rPr>
      </w:pPr>
    </w:p>
    <w:p w14:paraId="701BCC0B" w14:textId="673BD0F1" w:rsidR="00D96C03" w:rsidRPr="006E4086" w:rsidRDefault="00D96C03" w:rsidP="00F47607">
      <w:pPr>
        <w:pStyle w:val="ListParagraph"/>
        <w:numPr>
          <w:ilvl w:val="0"/>
          <w:numId w:val="20"/>
        </w:numPr>
        <w:spacing w:before="0" w:after="0" w:line="240" w:lineRule="auto"/>
        <w:rPr>
          <w:rFonts w:ascii="Garamond" w:hAnsi="Garamond"/>
        </w:rPr>
      </w:pPr>
      <w:r w:rsidRPr="006E4086">
        <w:rPr>
          <w:rFonts w:ascii="Garamond" w:hAnsi="Garamond"/>
        </w:rPr>
        <w:t>Why do you want to do tourism concessioning</w:t>
      </w:r>
      <w:r w:rsidR="003D4418">
        <w:rPr>
          <w:rFonts w:ascii="Garamond" w:hAnsi="Garamond"/>
        </w:rPr>
        <w:t>, and how is it related to and motivated by particular policies</w:t>
      </w:r>
      <w:r w:rsidRPr="006E4086">
        <w:rPr>
          <w:rFonts w:ascii="Garamond" w:hAnsi="Garamond"/>
        </w:rPr>
        <w:t>?</w:t>
      </w:r>
    </w:p>
    <w:p w14:paraId="17866696" w14:textId="7B398173" w:rsidR="00D96C03" w:rsidRPr="006E4086" w:rsidRDefault="00D96C03" w:rsidP="00F47607">
      <w:pPr>
        <w:pStyle w:val="ListParagraph"/>
        <w:numPr>
          <w:ilvl w:val="0"/>
          <w:numId w:val="20"/>
        </w:numPr>
        <w:spacing w:before="0" w:after="0" w:line="240" w:lineRule="auto"/>
        <w:rPr>
          <w:rFonts w:ascii="Garamond" w:hAnsi="Garamond"/>
        </w:rPr>
      </w:pPr>
      <w:r w:rsidRPr="006E4086">
        <w:rPr>
          <w:rFonts w:ascii="Garamond" w:hAnsi="Garamond"/>
        </w:rPr>
        <w:t xml:space="preserve">What are the objectives of </w:t>
      </w:r>
      <w:r w:rsidR="003D1974" w:rsidRPr="006E4086">
        <w:rPr>
          <w:rFonts w:ascii="Garamond" w:hAnsi="Garamond"/>
        </w:rPr>
        <w:t xml:space="preserve">the </w:t>
      </w:r>
      <w:r w:rsidRPr="006E4086">
        <w:rPr>
          <w:rFonts w:ascii="Garamond" w:hAnsi="Garamond"/>
        </w:rPr>
        <w:t xml:space="preserve">concessioning? (e.g. capital investment; </w:t>
      </w:r>
      <w:r w:rsidR="003D4418">
        <w:rPr>
          <w:rFonts w:ascii="Garamond" w:hAnsi="Garamond"/>
        </w:rPr>
        <w:t xml:space="preserve">revenue generation, </w:t>
      </w:r>
      <w:r w:rsidRPr="006E4086">
        <w:rPr>
          <w:rFonts w:ascii="Garamond" w:hAnsi="Garamond"/>
        </w:rPr>
        <w:t>employment; awareness raising; spread risk</w:t>
      </w:r>
      <w:r w:rsidR="006549E2" w:rsidRPr="006E4086">
        <w:rPr>
          <w:rFonts w:ascii="Garamond" w:hAnsi="Garamond"/>
        </w:rPr>
        <w:t xml:space="preserve"> etc.</w:t>
      </w:r>
      <w:r w:rsidRPr="006E4086">
        <w:rPr>
          <w:rFonts w:ascii="Garamond" w:hAnsi="Garamond"/>
        </w:rPr>
        <w:t>)</w:t>
      </w:r>
    </w:p>
    <w:p w14:paraId="15ED86A6" w14:textId="5F3759B5" w:rsidR="006549E2" w:rsidRPr="006E4086" w:rsidRDefault="006549E2" w:rsidP="00F47607">
      <w:pPr>
        <w:pStyle w:val="ListParagraph"/>
        <w:numPr>
          <w:ilvl w:val="0"/>
          <w:numId w:val="20"/>
        </w:numPr>
        <w:spacing w:before="0" w:after="0" w:line="240" w:lineRule="auto"/>
        <w:rPr>
          <w:rFonts w:ascii="Garamond" w:hAnsi="Garamond"/>
        </w:rPr>
      </w:pPr>
      <w:r w:rsidRPr="006E4086">
        <w:rPr>
          <w:rFonts w:ascii="Garamond" w:hAnsi="Garamond"/>
        </w:rPr>
        <w:t>What will the concessioning need to achieve in order to be considered a success (e.g. value of investment; number of jobs etc.)</w:t>
      </w:r>
    </w:p>
    <w:p w14:paraId="06845B3D" w14:textId="77777777" w:rsidR="002D666C" w:rsidRPr="006E4086" w:rsidRDefault="003D1974" w:rsidP="00F47607">
      <w:pPr>
        <w:pStyle w:val="ListParagraph"/>
        <w:numPr>
          <w:ilvl w:val="0"/>
          <w:numId w:val="20"/>
        </w:numPr>
        <w:spacing w:before="0" w:after="0" w:line="240" w:lineRule="auto"/>
        <w:rPr>
          <w:rFonts w:ascii="Garamond" w:hAnsi="Garamond"/>
        </w:rPr>
      </w:pPr>
      <w:r w:rsidRPr="006E4086">
        <w:rPr>
          <w:rFonts w:ascii="Garamond" w:hAnsi="Garamond"/>
        </w:rPr>
        <w:t xml:space="preserve">Which agencies have the mandate to commission and agree concessions in TFCAs? </w:t>
      </w:r>
    </w:p>
    <w:p w14:paraId="055DEADE" w14:textId="682825B7" w:rsidR="0060542A" w:rsidRPr="006E4086" w:rsidRDefault="002D666C" w:rsidP="00F47607">
      <w:pPr>
        <w:pStyle w:val="ListParagraph"/>
        <w:numPr>
          <w:ilvl w:val="0"/>
          <w:numId w:val="20"/>
        </w:numPr>
        <w:spacing w:before="0" w:after="0" w:line="240" w:lineRule="auto"/>
        <w:rPr>
          <w:rFonts w:ascii="Garamond" w:hAnsi="Garamond"/>
        </w:rPr>
      </w:pPr>
      <w:r w:rsidRPr="006E4086">
        <w:rPr>
          <w:rFonts w:ascii="Garamond" w:hAnsi="Garamond"/>
        </w:rPr>
        <w:t>Is there political will for concessioning</w:t>
      </w:r>
      <w:r w:rsidR="003D4418">
        <w:rPr>
          <w:rFonts w:ascii="Garamond" w:hAnsi="Garamond"/>
        </w:rPr>
        <w:t xml:space="preserve"> from all countries in the TFCA</w:t>
      </w:r>
      <w:r w:rsidRPr="006E4086">
        <w:rPr>
          <w:rFonts w:ascii="Garamond" w:hAnsi="Garamond"/>
        </w:rPr>
        <w:t>, and w</w:t>
      </w:r>
      <w:r w:rsidR="003D1974" w:rsidRPr="006E4086">
        <w:rPr>
          <w:rFonts w:ascii="Garamond" w:hAnsi="Garamond"/>
        </w:rPr>
        <w:t>ho are the likely champions?</w:t>
      </w:r>
    </w:p>
    <w:p w14:paraId="2B7AE446" w14:textId="27EF6A17" w:rsidR="002D666C" w:rsidRPr="006E4086" w:rsidRDefault="007308D4" w:rsidP="00F47607">
      <w:pPr>
        <w:pStyle w:val="ListParagraph"/>
        <w:numPr>
          <w:ilvl w:val="0"/>
          <w:numId w:val="20"/>
        </w:numPr>
        <w:spacing w:before="0" w:after="0" w:line="240" w:lineRule="auto"/>
        <w:rPr>
          <w:rFonts w:ascii="Garamond" w:hAnsi="Garamond"/>
        </w:rPr>
      </w:pPr>
      <w:r w:rsidRPr="006E4086">
        <w:rPr>
          <w:rFonts w:ascii="Garamond" w:hAnsi="Garamond"/>
        </w:rPr>
        <w:t xml:space="preserve">Are there specific destinations within the TFCA </w:t>
      </w:r>
      <w:r w:rsidR="006A536D" w:rsidRPr="006E4086">
        <w:rPr>
          <w:rFonts w:ascii="Garamond" w:hAnsi="Garamond"/>
        </w:rPr>
        <w:t>identified</w:t>
      </w:r>
      <w:r w:rsidR="003D4418">
        <w:rPr>
          <w:rFonts w:ascii="Garamond" w:hAnsi="Garamond"/>
        </w:rPr>
        <w:t>, prioritized</w:t>
      </w:r>
      <w:r w:rsidR="006A536D" w:rsidRPr="006E4086">
        <w:rPr>
          <w:rFonts w:ascii="Garamond" w:hAnsi="Garamond"/>
        </w:rPr>
        <w:t xml:space="preserve"> and available</w:t>
      </w:r>
      <w:r w:rsidRPr="006E4086">
        <w:rPr>
          <w:rFonts w:ascii="Garamond" w:hAnsi="Garamond"/>
        </w:rPr>
        <w:t xml:space="preserve"> for concessions, and/or </w:t>
      </w:r>
      <w:r w:rsidR="00A2176E" w:rsidRPr="006E4086">
        <w:rPr>
          <w:rFonts w:ascii="Garamond" w:hAnsi="Garamond"/>
        </w:rPr>
        <w:t>appropriate</w:t>
      </w:r>
      <w:r w:rsidRPr="006E4086">
        <w:rPr>
          <w:rFonts w:ascii="Garamond" w:hAnsi="Garamond"/>
        </w:rPr>
        <w:t xml:space="preserve"> tourism product types? </w:t>
      </w:r>
      <w:r w:rsidR="003D4418">
        <w:rPr>
          <w:rFonts w:ascii="Garamond" w:hAnsi="Garamond"/>
        </w:rPr>
        <w:t xml:space="preserve">Are the tourism product types compatible with TFCA conditions and objectives? (i.e. see </w:t>
      </w:r>
      <w:r w:rsidR="003857F9" w:rsidRPr="003857F9">
        <w:rPr>
          <w:rFonts w:ascii="Garamond" w:hAnsi="Garamond"/>
        </w:rPr>
        <w:fldChar w:fldCharType="begin"/>
      </w:r>
      <w:r w:rsidR="003857F9" w:rsidRPr="003857F9">
        <w:rPr>
          <w:rFonts w:ascii="Garamond" w:hAnsi="Garamond"/>
        </w:rPr>
        <w:instrText xml:space="preserve"> REF _Ref269368732 \h </w:instrText>
      </w:r>
      <w:r w:rsidR="003857F9" w:rsidRPr="003857F9">
        <w:rPr>
          <w:rFonts w:ascii="Garamond" w:hAnsi="Garamond"/>
        </w:rPr>
      </w:r>
      <w:r w:rsidR="003857F9" w:rsidRPr="003857F9">
        <w:rPr>
          <w:rFonts w:ascii="Garamond" w:hAnsi="Garamond"/>
        </w:rPr>
        <w:fldChar w:fldCharType="separate"/>
      </w:r>
      <w:r w:rsidR="003857F9" w:rsidRPr="003857F9">
        <w:rPr>
          <w:rFonts w:ascii="Garamond" w:hAnsi="Garamond"/>
        </w:rPr>
        <w:t xml:space="preserve">Table </w:t>
      </w:r>
      <w:r w:rsidR="003857F9" w:rsidRPr="003857F9">
        <w:rPr>
          <w:rFonts w:ascii="Garamond" w:hAnsi="Garamond"/>
          <w:noProof/>
        </w:rPr>
        <w:t>1</w:t>
      </w:r>
      <w:r w:rsidR="003857F9" w:rsidRPr="003857F9">
        <w:rPr>
          <w:rFonts w:ascii="Garamond" w:hAnsi="Garamond"/>
        </w:rPr>
        <w:fldChar w:fldCharType="end"/>
      </w:r>
      <w:r w:rsidR="003D4418">
        <w:rPr>
          <w:rFonts w:ascii="Garamond" w:hAnsi="Garamond"/>
        </w:rPr>
        <w:t>).</w:t>
      </w:r>
    </w:p>
    <w:p w14:paraId="195F772C" w14:textId="77777777" w:rsidR="009D284C" w:rsidRPr="00C97D27" w:rsidRDefault="009D284C" w:rsidP="006E4086">
      <w:pPr>
        <w:pStyle w:val="ListParagraph"/>
        <w:spacing w:before="0" w:after="0" w:line="240" w:lineRule="auto"/>
        <w:ind w:left="0"/>
        <w:contextualSpacing w:val="0"/>
        <w:rPr>
          <w:rFonts w:ascii="Garamond" w:hAnsi="Garamond"/>
        </w:rPr>
      </w:pPr>
    </w:p>
    <w:p w14:paraId="2F9DC6B3" w14:textId="0B468846" w:rsidR="00785625" w:rsidRDefault="004E7B90" w:rsidP="00785625">
      <w:pPr>
        <w:pStyle w:val="Heading3"/>
        <w:rPr>
          <w:rFonts w:ascii="Garamond" w:hAnsi="Garamond"/>
        </w:rPr>
      </w:pPr>
      <w:bookmarkStart w:id="15" w:name="_Toc269636326"/>
      <w:r>
        <w:rPr>
          <w:rFonts w:ascii="Garamond" w:hAnsi="Garamond"/>
        </w:rPr>
        <w:t>C</w:t>
      </w:r>
      <w:r w:rsidR="00785625">
        <w:rPr>
          <w:rFonts w:ascii="Garamond" w:hAnsi="Garamond"/>
        </w:rPr>
        <w:t>oncessions experience</w:t>
      </w:r>
      <w:bookmarkEnd w:id="15"/>
    </w:p>
    <w:p w14:paraId="4F42B458" w14:textId="77777777" w:rsidR="009D284C" w:rsidRDefault="009D284C" w:rsidP="00E87144">
      <w:pPr>
        <w:spacing w:before="0" w:after="0" w:line="240" w:lineRule="auto"/>
        <w:rPr>
          <w:rFonts w:ascii="Garamond" w:hAnsi="Garamond"/>
        </w:rPr>
      </w:pPr>
    </w:p>
    <w:p w14:paraId="37616CF5" w14:textId="22783FF5" w:rsidR="00785625" w:rsidRPr="00B26C4E" w:rsidRDefault="00CA4D4A" w:rsidP="00E87144">
      <w:pPr>
        <w:spacing w:before="0" w:after="0" w:line="240" w:lineRule="auto"/>
        <w:rPr>
          <w:rFonts w:ascii="Garamond" w:hAnsi="Garamond"/>
        </w:rPr>
      </w:pPr>
      <w:r w:rsidRPr="00B26C4E">
        <w:rPr>
          <w:rFonts w:ascii="Garamond" w:hAnsi="Garamond"/>
        </w:rPr>
        <w:t xml:space="preserve">Understanding the history and previous experience of tourism concessions </w:t>
      </w:r>
      <w:r w:rsidR="00B26C4E" w:rsidRPr="00B26C4E">
        <w:rPr>
          <w:rFonts w:ascii="Garamond" w:hAnsi="Garamond"/>
        </w:rPr>
        <w:t>in a particular TFCA is important to appreciate the context, previous levels of success (or not) in leveraging investment; challenges; and levels of skill and capacity</w:t>
      </w:r>
      <w:r w:rsidR="0060542A">
        <w:rPr>
          <w:rFonts w:ascii="Garamond" w:hAnsi="Garamond"/>
        </w:rPr>
        <w:t xml:space="preserve"> that exist</w:t>
      </w:r>
      <w:r w:rsidR="00B26C4E" w:rsidRPr="00B26C4E">
        <w:rPr>
          <w:rFonts w:ascii="Garamond" w:hAnsi="Garamond"/>
        </w:rPr>
        <w:t xml:space="preserve">.  </w:t>
      </w:r>
    </w:p>
    <w:p w14:paraId="08B2D284" w14:textId="77777777" w:rsidR="009D284C" w:rsidRDefault="009D284C" w:rsidP="00E87144">
      <w:pPr>
        <w:spacing w:before="0" w:after="0" w:line="240" w:lineRule="auto"/>
        <w:rPr>
          <w:rFonts w:ascii="Garamond" w:hAnsi="Garamond"/>
        </w:rPr>
      </w:pPr>
    </w:p>
    <w:p w14:paraId="328863B0" w14:textId="7A3A4C0E" w:rsidR="00785625" w:rsidRDefault="00B26C4E" w:rsidP="00E87144">
      <w:pPr>
        <w:spacing w:before="0" w:after="0" w:line="240" w:lineRule="auto"/>
        <w:rPr>
          <w:rFonts w:ascii="Garamond" w:hAnsi="Garamond"/>
        </w:rPr>
      </w:pPr>
      <w:r w:rsidRPr="00B26C4E">
        <w:rPr>
          <w:rFonts w:ascii="Garamond" w:hAnsi="Garamond"/>
        </w:rPr>
        <w:t xml:space="preserve">Discuss with key stakeholders such as ministry representatives, PPAs, and relevant development agencies and non-governmental organisations (NGOs) the following: </w:t>
      </w:r>
    </w:p>
    <w:p w14:paraId="4D0D7C1E" w14:textId="77777777" w:rsidR="009D284C" w:rsidRDefault="009D284C" w:rsidP="00E87144">
      <w:pPr>
        <w:spacing w:before="0" w:after="0" w:line="240" w:lineRule="auto"/>
        <w:rPr>
          <w:rFonts w:ascii="Garamond" w:hAnsi="Garamond"/>
        </w:rPr>
      </w:pPr>
    </w:p>
    <w:p w14:paraId="29849BD0" w14:textId="5E4FBD8E"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 xml:space="preserve">Have tourism concessions been used in the country, </w:t>
      </w:r>
      <w:r w:rsidR="003857F9">
        <w:rPr>
          <w:rFonts w:ascii="Garamond" w:hAnsi="Garamond"/>
        </w:rPr>
        <w:t xml:space="preserve">this TFCA, </w:t>
      </w:r>
      <w:r w:rsidRPr="009D284C">
        <w:rPr>
          <w:rFonts w:ascii="Garamond" w:hAnsi="Garamond"/>
        </w:rPr>
        <w:t>and in this destination before?</w:t>
      </w:r>
    </w:p>
    <w:p w14:paraId="5F5A5599" w14:textId="213ABE68"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What type of business model was used?</w:t>
      </w:r>
      <w:r w:rsidR="00F27617" w:rsidRPr="009D284C">
        <w:rPr>
          <w:rFonts w:ascii="Garamond" w:hAnsi="Garamond"/>
        </w:rPr>
        <w:t xml:space="preserve"> (e.g. management contract, lease, concession)</w:t>
      </w:r>
    </w:p>
    <w:p w14:paraId="44507AFF" w14:textId="7918E9CD"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What procurement process was followed?</w:t>
      </w:r>
      <w:r w:rsidR="003857F9">
        <w:rPr>
          <w:rFonts w:ascii="Garamond" w:hAnsi="Garamond"/>
        </w:rPr>
        <w:t xml:space="preserve"> (e.g. tender, unsolicited</w:t>
      </w:r>
      <w:r w:rsidR="00F27617" w:rsidRPr="009D284C">
        <w:rPr>
          <w:rFonts w:ascii="Garamond" w:hAnsi="Garamond"/>
        </w:rPr>
        <w:t>)</w:t>
      </w:r>
    </w:p>
    <w:p w14:paraId="6ADF7224" w14:textId="192AC1CC"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What level of interest is there from investors in potential tourism concessions?</w:t>
      </w:r>
    </w:p>
    <w:p w14:paraId="311A8D0D" w14:textId="7A1AF8E9"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 xml:space="preserve">What level of investment and type of tourism products were leveraged? </w:t>
      </w:r>
    </w:p>
    <w:p w14:paraId="65A750E7" w14:textId="39E213B3"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What issues arose in relation to transboundary issues? (e.g. borders, revenue sharing etc)</w:t>
      </w:r>
    </w:p>
    <w:p w14:paraId="5B6AFCE6" w14:textId="4BCE45FF" w:rsidR="006A536D" w:rsidRDefault="006A536D" w:rsidP="00F47607">
      <w:pPr>
        <w:pStyle w:val="ListParagraph"/>
        <w:numPr>
          <w:ilvl w:val="0"/>
          <w:numId w:val="19"/>
        </w:numPr>
        <w:spacing w:before="0" w:after="0" w:line="240" w:lineRule="auto"/>
        <w:rPr>
          <w:rFonts w:ascii="Garamond" w:hAnsi="Garamond"/>
        </w:rPr>
      </w:pPr>
      <w:r w:rsidRPr="009D284C">
        <w:rPr>
          <w:rFonts w:ascii="Garamond" w:hAnsi="Garamond"/>
        </w:rPr>
        <w:t>How does money from tourism in protected areas flow? (i.e. to conservation management, to communities, national government</w:t>
      </w:r>
      <w:r w:rsidR="003857F9">
        <w:rPr>
          <w:rFonts w:ascii="Garamond" w:hAnsi="Garamond"/>
        </w:rPr>
        <w:t>, to a joint-TFCA fund</w:t>
      </w:r>
      <w:r w:rsidRPr="009D284C">
        <w:rPr>
          <w:rFonts w:ascii="Garamond" w:hAnsi="Garamond"/>
        </w:rPr>
        <w:t xml:space="preserve"> etc)</w:t>
      </w:r>
    </w:p>
    <w:p w14:paraId="331A9024" w14:textId="4EC2E67D" w:rsidR="00AD2010" w:rsidRPr="009D284C" w:rsidRDefault="00AD2010" w:rsidP="00F47607">
      <w:pPr>
        <w:pStyle w:val="ListParagraph"/>
        <w:numPr>
          <w:ilvl w:val="0"/>
          <w:numId w:val="19"/>
        </w:numPr>
        <w:spacing w:before="0" w:after="0" w:line="240" w:lineRule="auto"/>
        <w:rPr>
          <w:rFonts w:ascii="Garamond" w:hAnsi="Garamond"/>
        </w:rPr>
      </w:pPr>
      <w:r>
        <w:rPr>
          <w:rFonts w:ascii="Garamond" w:hAnsi="Garamond"/>
        </w:rPr>
        <w:lastRenderedPageBreak/>
        <w:t>What level of skill exists internally to design and implement concessioning? (i.e. do gaps need to be filled by hiring advisors)</w:t>
      </w:r>
    </w:p>
    <w:p w14:paraId="752EBE31" w14:textId="261119BC" w:rsidR="009D284C" w:rsidRDefault="00AD2010" w:rsidP="00E87144">
      <w:pPr>
        <w:spacing w:before="0" w:after="0" w:line="240" w:lineRule="auto"/>
        <w:rPr>
          <w:rFonts w:ascii="Garamond" w:hAnsi="Garamond"/>
        </w:rPr>
      </w:pPr>
      <w:r>
        <w:rPr>
          <w:rFonts w:ascii="Garamond" w:hAnsi="Garamond"/>
        </w:rPr>
        <w:t>.</w:t>
      </w:r>
    </w:p>
    <w:p w14:paraId="504998DE" w14:textId="592FFB19" w:rsidR="00F27617" w:rsidRDefault="00F27617" w:rsidP="00E87144">
      <w:pPr>
        <w:spacing w:before="0" w:after="0" w:line="240" w:lineRule="auto"/>
        <w:rPr>
          <w:rFonts w:ascii="Garamond" w:hAnsi="Garamond"/>
        </w:rPr>
      </w:pPr>
      <w:r>
        <w:rPr>
          <w:rFonts w:ascii="Garamond" w:hAnsi="Garamond"/>
        </w:rPr>
        <w:t xml:space="preserve">Also </w:t>
      </w:r>
      <w:r w:rsidR="003857F9">
        <w:rPr>
          <w:rFonts w:ascii="Garamond" w:hAnsi="Garamond"/>
        </w:rPr>
        <w:t>ask stakeholders for copies of relevant</w:t>
      </w:r>
      <w:r>
        <w:rPr>
          <w:rFonts w:ascii="Garamond" w:hAnsi="Garamond"/>
        </w:rPr>
        <w:t xml:space="preserve"> reports on tourism investment and concessioning </w:t>
      </w:r>
      <w:r w:rsidR="003857F9">
        <w:rPr>
          <w:rFonts w:ascii="Garamond" w:hAnsi="Garamond"/>
        </w:rPr>
        <w:t>that</w:t>
      </w:r>
      <w:r>
        <w:rPr>
          <w:rFonts w:ascii="Garamond" w:hAnsi="Garamond"/>
        </w:rPr>
        <w:t xml:space="preserve"> can provide responses to some of these questions. </w:t>
      </w:r>
    </w:p>
    <w:p w14:paraId="2465EC80" w14:textId="77777777" w:rsidR="009D284C" w:rsidRPr="00F27617" w:rsidRDefault="009D284C" w:rsidP="00E87144">
      <w:pPr>
        <w:spacing w:before="0" w:after="0" w:line="240" w:lineRule="auto"/>
        <w:rPr>
          <w:rFonts w:ascii="Garamond" w:hAnsi="Garamond"/>
        </w:rPr>
      </w:pPr>
    </w:p>
    <w:p w14:paraId="36F58A76" w14:textId="39B90F82" w:rsidR="00785625" w:rsidRDefault="00785625" w:rsidP="00785625">
      <w:pPr>
        <w:pStyle w:val="Heading3"/>
        <w:rPr>
          <w:rFonts w:ascii="Garamond" w:hAnsi="Garamond"/>
        </w:rPr>
      </w:pPr>
      <w:bookmarkStart w:id="16" w:name="_Toc269636327"/>
      <w:r>
        <w:rPr>
          <w:rFonts w:ascii="Garamond" w:hAnsi="Garamond"/>
        </w:rPr>
        <w:t>Potential barriers to concessioning</w:t>
      </w:r>
      <w:bookmarkEnd w:id="16"/>
    </w:p>
    <w:p w14:paraId="3E5029F2" w14:textId="77777777" w:rsidR="009D284C" w:rsidRDefault="009D284C" w:rsidP="00E87144">
      <w:pPr>
        <w:spacing w:before="0" w:after="0" w:line="240" w:lineRule="auto"/>
        <w:rPr>
          <w:rFonts w:ascii="Garamond" w:hAnsi="Garamond"/>
        </w:rPr>
      </w:pPr>
    </w:p>
    <w:p w14:paraId="67051EC4" w14:textId="20018C0E" w:rsidR="00A94B5D" w:rsidRDefault="00F27617" w:rsidP="00E87144">
      <w:pPr>
        <w:spacing w:before="0" w:after="0" w:line="240" w:lineRule="auto"/>
        <w:rPr>
          <w:rFonts w:ascii="Garamond" w:hAnsi="Garamond"/>
        </w:rPr>
      </w:pPr>
      <w:r w:rsidRPr="00F27617">
        <w:rPr>
          <w:rFonts w:ascii="Garamond" w:hAnsi="Garamond"/>
        </w:rPr>
        <w:t>Concessioning</w:t>
      </w:r>
      <w:r w:rsidR="00C75171">
        <w:rPr>
          <w:rFonts w:ascii="Garamond" w:hAnsi="Garamond"/>
        </w:rPr>
        <w:t xml:space="preserve"> is not a simple process. Concessioning is generally associated with</w:t>
      </w:r>
      <w:r w:rsidRPr="00F27617">
        <w:rPr>
          <w:rFonts w:ascii="Garamond" w:hAnsi="Garamond"/>
        </w:rPr>
        <w:t xml:space="preserve"> high transaction costs for the both </w:t>
      </w:r>
      <w:r w:rsidR="003857F9">
        <w:rPr>
          <w:rFonts w:ascii="Garamond" w:hAnsi="Garamond"/>
        </w:rPr>
        <w:t>the PA</w:t>
      </w:r>
      <w:r w:rsidR="00C75171">
        <w:rPr>
          <w:rFonts w:ascii="Garamond" w:hAnsi="Garamond"/>
        </w:rPr>
        <w:t xml:space="preserve">A and the concessionaire – particularly in terms of time and human resources.  Aside from the difficulties, there are some elements that can act as barriers to concessioning in TFCAs. </w:t>
      </w:r>
      <w:r w:rsidR="00A94B5D">
        <w:rPr>
          <w:rFonts w:ascii="Garamond" w:hAnsi="Garamond"/>
        </w:rPr>
        <w:t xml:space="preserve">These </w:t>
      </w:r>
      <w:r w:rsidR="00A94B5D" w:rsidRPr="00A94B5D">
        <w:rPr>
          <w:rFonts w:ascii="Garamond" w:hAnsi="Garamond"/>
        </w:rPr>
        <w:t>the following</w:t>
      </w:r>
      <w:r w:rsidR="00A94B5D" w:rsidRPr="00A94B5D">
        <w:rPr>
          <w:rStyle w:val="FootnoteReference"/>
          <w:rFonts w:ascii="Garamond" w:hAnsi="Garamond"/>
        </w:rPr>
        <w:footnoteReference w:id="9"/>
      </w:r>
      <w:r w:rsidR="00A94B5D" w:rsidRPr="00A94B5D">
        <w:rPr>
          <w:rFonts w:ascii="Garamond" w:hAnsi="Garamond"/>
        </w:rPr>
        <w:t xml:space="preserve">: </w:t>
      </w:r>
    </w:p>
    <w:p w14:paraId="31810957" w14:textId="77777777" w:rsidR="009D284C" w:rsidRPr="00A94B5D" w:rsidRDefault="009D284C" w:rsidP="00E87144">
      <w:pPr>
        <w:spacing w:before="0" w:after="0" w:line="240" w:lineRule="auto"/>
        <w:rPr>
          <w:rFonts w:ascii="Garamond" w:hAnsi="Garamond"/>
        </w:rPr>
      </w:pPr>
    </w:p>
    <w:p w14:paraId="4A7A354C" w14:textId="2F3EF6AC"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Political stability</w:t>
      </w:r>
      <w:r w:rsidRPr="009D284C">
        <w:rPr>
          <w:rFonts w:ascii="Garamond" w:hAnsi="Garamond"/>
        </w:rPr>
        <w:t>: The political and security situation of a TFCA is not sufficiently stable for tourism investors to operate, or attractive enough for touri</w:t>
      </w:r>
      <w:r w:rsidR="003857F9">
        <w:rPr>
          <w:rFonts w:ascii="Garamond" w:hAnsi="Garamond"/>
        </w:rPr>
        <w:t>sts to visit (i.e.</w:t>
      </w:r>
      <w:r w:rsidR="006A536D" w:rsidRPr="009D284C">
        <w:rPr>
          <w:rFonts w:ascii="Garamond" w:hAnsi="Garamond"/>
        </w:rPr>
        <w:t xml:space="preserve"> local, n</w:t>
      </w:r>
      <w:r w:rsidR="003857F9">
        <w:rPr>
          <w:rFonts w:ascii="Garamond" w:hAnsi="Garamond"/>
        </w:rPr>
        <w:t>ational and regional stability).</w:t>
      </w:r>
    </w:p>
    <w:p w14:paraId="4D5B7442" w14:textId="0307025F"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Governance</w:t>
      </w:r>
      <w:r w:rsidRPr="009D284C">
        <w:rPr>
          <w:rFonts w:ascii="Garamond" w:hAnsi="Garamond"/>
        </w:rPr>
        <w:t xml:space="preserve">: Political interference and/or corruption make a transparent and well-governed concessions </w:t>
      </w:r>
      <w:r w:rsidR="00C97D27" w:rsidRPr="009D284C">
        <w:rPr>
          <w:rFonts w:ascii="Garamond" w:hAnsi="Garamond"/>
        </w:rPr>
        <w:t xml:space="preserve">procurement process impossible, or a process that takes too long, is confusing or expensive. </w:t>
      </w:r>
    </w:p>
    <w:p w14:paraId="4887E50A" w14:textId="7D0A4AD5"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Legal issues:</w:t>
      </w:r>
      <w:r w:rsidRPr="009D284C">
        <w:rPr>
          <w:rFonts w:ascii="Garamond" w:hAnsi="Garamond"/>
        </w:rPr>
        <w:t xml:space="preserve"> The legal framework does not </w:t>
      </w:r>
      <w:r w:rsidR="006A536D" w:rsidRPr="009D284C">
        <w:rPr>
          <w:rFonts w:ascii="Garamond" w:hAnsi="Garamond"/>
        </w:rPr>
        <w:t>allow private sector investment,</w:t>
      </w:r>
      <w:r w:rsidR="00C97D27" w:rsidRPr="009D284C">
        <w:rPr>
          <w:rFonts w:ascii="Garamond" w:hAnsi="Garamond"/>
        </w:rPr>
        <w:t xml:space="preserve"> revenue generation </w:t>
      </w:r>
      <w:r w:rsidR="006A536D" w:rsidRPr="009D284C">
        <w:rPr>
          <w:rFonts w:ascii="Garamond" w:hAnsi="Garamond"/>
        </w:rPr>
        <w:t xml:space="preserve">or repatriation of profits </w:t>
      </w:r>
      <w:r w:rsidR="00C97D27" w:rsidRPr="009D284C">
        <w:rPr>
          <w:rFonts w:ascii="Garamond" w:hAnsi="Garamond"/>
        </w:rPr>
        <w:t>within TFCAs</w:t>
      </w:r>
      <w:r w:rsidRPr="009D284C">
        <w:rPr>
          <w:rFonts w:ascii="Garamond" w:hAnsi="Garamond"/>
        </w:rPr>
        <w:t>, or for secure land tenure to be granted to the private sector.</w:t>
      </w:r>
    </w:p>
    <w:p w14:paraId="206A7B0A" w14:textId="7E65750D"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Motivation:</w:t>
      </w:r>
      <w:r w:rsidRPr="009D284C">
        <w:rPr>
          <w:rFonts w:ascii="Garamond" w:hAnsi="Garamond"/>
        </w:rPr>
        <w:t xml:space="preserve"> The </w:t>
      </w:r>
      <w:r w:rsidR="00202CED" w:rsidRPr="009D284C">
        <w:rPr>
          <w:rFonts w:ascii="Garamond" w:hAnsi="Garamond"/>
        </w:rPr>
        <w:t>land authority</w:t>
      </w:r>
      <w:r w:rsidRPr="009D284C">
        <w:rPr>
          <w:rFonts w:ascii="Garamond" w:hAnsi="Garamond"/>
        </w:rPr>
        <w:t xml:space="preserve"> does not want to delegate revenue-generating activities, or areas of land within its protected areas, to the private sector</w:t>
      </w:r>
      <w:r w:rsidR="00202CED" w:rsidRPr="009D284C">
        <w:rPr>
          <w:rFonts w:ascii="Garamond" w:hAnsi="Garamond"/>
        </w:rPr>
        <w:t>.</w:t>
      </w:r>
      <w:r w:rsidRPr="009D284C">
        <w:rPr>
          <w:rFonts w:ascii="Garamond" w:hAnsi="Garamond"/>
        </w:rPr>
        <w:t xml:space="preserve"> </w:t>
      </w:r>
    </w:p>
    <w:p w14:paraId="2FFEF045" w14:textId="3E04778F"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Sensitivity:</w:t>
      </w:r>
      <w:r w:rsidRPr="009D284C">
        <w:rPr>
          <w:rFonts w:ascii="Garamond" w:hAnsi="Garamond"/>
        </w:rPr>
        <w:t xml:space="preserve"> The destination is considered too environmentally or culturally sensitive for tourism development.</w:t>
      </w:r>
      <w:r w:rsidR="00C97D27" w:rsidRPr="009D284C">
        <w:rPr>
          <w:rFonts w:ascii="Garamond" w:hAnsi="Garamond"/>
        </w:rPr>
        <w:t xml:space="preserve"> </w:t>
      </w:r>
    </w:p>
    <w:p w14:paraId="62546566" w14:textId="68BFCC8B"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Attractiveness:</w:t>
      </w:r>
      <w:r w:rsidRPr="009D284C">
        <w:rPr>
          <w:rFonts w:ascii="Garamond" w:hAnsi="Garamond"/>
        </w:rPr>
        <w:t xml:space="preserve"> The area does not have enough attractive natural or cultural features to develop a good tourism product that fits the market</w:t>
      </w:r>
      <w:r w:rsidR="00C97D27" w:rsidRPr="009D284C">
        <w:rPr>
          <w:rFonts w:ascii="Garamond" w:hAnsi="Garamond"/>
        </w:rPr>
        <w:t xml:space="preserve"> demand</w:t>
      </w:r>
      <w:r w:rsidRPr="009D284C">
        <w:rPr>
          <w:rFonts w:ascii="Garamond" w:hAnsi="Garamond"/>
        </w:rPr>
        <w:t xml:space="preserve">, and is different from competing destinations, and is therefore not attractive to investors. </w:t>
      </w:r>
      <w:r w:rsidR="00C97D27" w:rsidRPr="009D284C">
        <w:rPr>
          <w:rFonts w:ascii="Garamond" w:hAnsi="Garamond"/>
        </w:rPr>
        <w:t xml:space="preserve"> This may include poor or de</w:t>
      </w:r>
      <w:r w:rsidR="00845749">
        <w:rPr>
          <w:rFonts w:ascii="Garamond" w:hAnsi="Garamond"/>
        </w:rPr>
        <w:t xml:space="preserve">teriorating attraction quality (e.g. </w:t>
      </w:r>
      <w:r w:rsidR="00C97D27" w:rsidRPr="009D284C">
        <w:rPr>
          <w:rFonts w:ascii="Garamond" w:hAnsi="Garamond"/>
        </w:rPr>
        <w:t>reduced wildlife numbers, pollution, physical damage to attractions</w:t>
      </w:r>
      <w:r w:rsidR="00845749">
        <w:rPr>
          <w:rFonts w:ascii="Garamond" w:hAnsi="Garamond"/>
        </w:rPr>
        <w:t>), or potential threats</w:t>
      </w:r>
      <w:r w:rsidR="00155115">
        <w:rPr>
          <w:rFonts w:ascii="Garamond" w:hAnsi="Garamond"/>
        </w:rPr>
        <w:t xml:space="preserve"> (e.g. mining prospecting, oil exploration). </w:t>
      </w:r>
    </w:p>
    <w:p w14:paraId="5AC2EE31" w14:textId="77777777"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Accessibility:</w:t>
      </w:r>
      <w:r w:rsidRPr="009D284C">
        <w:rPr>
          <w:rFonts w:ascii="Garamond" w:hAnsi="Garamond"/>
        </w:rPr>
        <w:t xml:space="preserve"> The protected area is not sufficiently accessible, due to limited road or air access infrastructure. </w:t>
      </w:r>
    </w:p>
    <w:p w14:paraId="0338BC79" w14:textId="77777777" w:rsidR="00A94B5D"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Basic infrastructure:</w:t>
      </w:r>
      <w:r w:rsidRPr="009D284C">
        <w:rPr>
          <w:rFonts w:ascii="Garamond" w:hAnsi="Garamond"/>
        </w:rPr>
        <w:t xml:space="preserve"> The destination does not have adequate internal support infrastructure to suit the requirements of the investor (e.g. internal road network, power provision, water provision, cellphone network etc.).</w:t>
      </w:r>
    </w:p>
    <w:p w14:paraId="00D23C68" w14:textId="3AC17092" w:rsidR="00845749" w:rsidRPr="009D284C" w:rsidRDefault="00845749" w:rsidP="00F47607">
      <w:pPr>
        <w:pStyle w:val="ListParagraph"/>
        <w:numPr>
          <w:ilvl w:val="0"/>
          <w:numId w:val="18"/>
        </w:numPr>
        <w:spacing w:before="0" w:after="0" w:line="240" w:lineRule="auto"/>
        <w:rPr>
          <w:rFonts w:ascii="Garamond" w:hAnsi="Garamond"/>
        </w:rPr>
      </w:pPr>
      <w:r>
        <w:rPr>
          <w:rFonts w:ascii="Garamond" w:hAnsi="Garamond"/>
          <w:b/>
        </w:rPr>
        <w:t>Operating costs:</w:t>
      </w:r>
      <w:r>
        <w:rPr>
          <w:rFonts w:ascii="Garamond" w:hAnsi="Garamond"/>
        </w:rPr>
        <w:t xml:space="preserve"> Including t</w:t>
      </w:r>
      <w:r w:rsidRPr="00E6380A">
        <w:rPr>
          <w:rFonts w:ascii="Garamond" w:hAnsi="Garamond"/>
        </w:rPr>
        <w:t>h</w:t>
      </w:r>
      <w:r w:rsidRPr="00E6380A">
        <w:rPr>
          <w:rFonts w:ascii="Garamond" w:hAnsi="Garamond" w:cs="Times"/>
        </w:rPr>
        <w:t>e cost of labor for the hospitality sector and utilities (especially electricity), regulations or quotas for expatriate workers, training, taxes in the hospitality sector, and any fiscal incentives available.</w:t>
      </w:r>
      <w:r w:rsidRPr="00E6380A">
        <w:rPr>
          <w:rStyle w:val="FootnoteReference"/>
          <w:rFonts w:ascii="Garamond" w:hAnsi="Garamond"/>
        </w:rPr>
        <w:t xml:space="preserve"> </w:t>
      </w:r>
      <w:r w:rsidRPr="00E6380A">
        <w:rPr>
          <w:rStyle w:val="FootnoteReference"/>
          <w:rFonts w:ascii="Garamond" w:hAnsi="Garamond"/>
        </w:rPr>
        <w:footnoteReference w:id="10"/>
      </w:r>
    </w:p>
    <w:p w14:paraId="4D6148C8" w14:textId="77777777" w:rsidR="009D284C" w:rsidRPr="00A94B5D" w:rsidRDefault="009D284C" w:rsidP="009D284C">
      <w:pPr>
        <w:pStyle w:val="ListParagraph"/>
        <w:spacing w:before="0" w:after="0" w:line="240" w:lineRule="auto"/>
        <w:ind w:left="0"/>
        <w:contextualSpacing w:val="0"/>
        <w:rPr>
          <w:rFonts w:ascii="Garamond" w:hAnsi="Garamond"/>
        </w:rPr>
      </w:pPr>
    </w:p>
    <w:p w14:paraId="69A48077" w14:textId="0E0D1834" w:rsidR="00A94B5D" w:rsidRDefault="00A94B5D" w:rsidP="00E87144">
      <w:pPr>
        <w:spacing w:before="0" w:after="0" w:line="240" w:lineRule="auto"/>
        <w:rPr>
          <w:rFonts w:ascii="Garamond" w:hAnsi="Garamond"/>
        </w:rPr>
      </w:pPr>
      <w:r w:rsidRPr="00A94B5D">
        <w:rPr>
          <w:rFonts w:ascii="Garamond" w:hAnsi="Garamond"/>
        </w:rPr>
        <w:t xml:space="preserve">Discuss </w:t>
      </w:r>
      <w:r w:rsidR="006A536D">
        <w:rPr>
          <w:rFonts w:ascii="Garamond" w:hAnsi="Garamond"/>
        </w:rPr>
        <w:t xml:space="preserve">potential challenges </w:t>
      </w:r>
      <w:r w:rsidRPr="00A94B5D">
        <w:rPr>
          <w:rFonts w:ascii="Garamond" w:hAnsi="Garamond"/>
        </w:rPr>
        <w:t>with key stakeholders</w:t>
      </w:r>
      <w:r w:rsidR="003857F9">
        <w:rPr>
          <w:rFonts w:ascii="Garamond" w:hAnsi="Garamond"/>
        </w:rPr>
        <w:t xml:space="preserve"> (including PA</w:t>
      </w:r>
      <w:r w:rsidR="006A536D">
        <w:rPr>
          <w:rFonts w:ascii="Garamond" w:hAnsi="Garamond"/>
        </w:rPr>
        <w:t>A, key tourism investors)</w:t>
      </w:r>
      <w:r w:rsidRPr="00A94B5D">
        <w:rPr>
          <w:rFonts w:ascii="Garamond" w:hAnsi="Garamond"/>
        </w:rPr>
        <w:t xml:space="preserve">, and review </w:t>
      </w:r>
      <w:r w:rsidR="006A536D">
        <w:rPr>
          <w:rFonts w:ascii="Garamond" w:hAnsi="Garamond"/>
        </w:rPr>
        <w:t>relevant</w:t>
      </w:r>
      <w:r w:rsidRPr="00A94B5D">
        <w:rPr>
          <w:rFonts w:ascii="Garamond" w:hAnsi="Garamond"/>
        </w:rPr>
        <w:t xml:space="preserve"> reports, to establish </w:t>
      </w:r>
      <w:r>
        <w:rPr>
          <w:rFonts w:ascii="Garamond" w:hAnsi="Garamond"/>
        </w:rPr>
        <w:t xml:space="preserve">whether these barriers exist, and </w:t>
      </w:r>
      <w:r w:rsidR="003857F9">
        <w:rPr>
          <w:rFonts w:ascii="Garamond" w:hAnsi="Garamond"/>
        </w:rPr>
        <w:t xml:space="preserve">can be resolved. </w:t>
      </w:r>
    </w:p>
    <w:p w14:paraId="01904B1C" w14:textId="77777777" w:rsidR="006E7D6E" w:rsidRPr="00A94B5D" w:rsidRDefault="006E7D6E" w:rsidP="00E87144">
      <w:pPr>
        <w:spacing w:before="0" w:after="0" w:line="240" w:lineRule="auto"/>
        <w:rPr>
          <w:rFonts w:ascii="Garamond" w:hAnsi="Garamond"/>
        </w:rPr>
      </w:pPr>
    </w:p>
    <w:p w14:paraId="27033BCA" w14:textId="26634C00" w:rsidR="00785625" w:rsidRDefault="000D6114" w:rsidP="00785625">
      <w:pPr>
        <w:pStyle w:val="Heading3"/>
        <w:rPr>
          <w:rFonts w:ascii="Garamond" w:hAnsi="Garamond"/>
        </w:rPr>
      </w:pPr>
      <w:bookmarkStart w:id="17" w:name="_Toc269636328"/>
      <w:r>
        <w:rPr>
          <w:rFonts w:ascii="Garamond" w:hAnsi="Garamond"/>
        </w:rPr>
        <w:t>W</w:t>
      </w:r>
      <w:r w:rsidR="00A2176E">
        <w:rPr>
          <w:rFonts w:ascii="Garamond" w:hAnsi="Garamond"/>
        </w:rPr>
        <w:t>hether</w:t>
      </w:r>
      <w:r w:rsidR="00785625">
        <w:rPr>
          <w:rFonts w:ascii="Garamond" w:hAnsi="Garamond"/>
        </w:rPr>
        <w:t xml:space="preserve"> to proceed</w:t>
      </w:r>
      <w:r w:rsidR="00A2176E">
        <w:rPr>
          <w:rFonts w:ascii="Garamond" w:hAnsi="Garamond"/>
        </w:rPr>
        <w:t xml:space="preserve"> or</w:t>
      </w:r>
      <w:r w:rsidR="00785625">
        <w:rPr>
          <w:rFonts w:ascii="Garamond" w:hAnsi="Garamond"/>
        </w:rPr>
        <w:t xml:space="preserve"> not</w:t>
      </w:r>
      <w:bookmarkEnd w:id="17"/>
    </w:p>
    <w:p w14:paraId="2A3A58F2" w14:textId="77777777" w:rsidR="009D284C" w:rsidRDefault="009D284C" w:rsidP="00E87144">
      <w:pPr>
        <w:spacing w:before="0" w:after="0" w:line="240" w:lineRule="auto"/>
        <w:rPr>
          <w:rFonts w:ascii="Garamond" w:hAnsi="Garamond"/>
        </w:rPr>
      </w:pPr>
    </w:p>
    <w:p w14:paraId="18AD5C31" w14:textId="522EF6AE" w:rsidR="00A94B5D" w:rsidRDefault="006A536D" w:rsidP="00E87144">
      <w:pPr>
        <w:spacing w:before="0" w:after="0" w:line="240" w:lineRule="auto"/>
        <w:rPr>
          <w:rFonts w:ascii="Garamond" w:hAnsi="Garamond"/>
        </w:rPr>
      </w:pPr>
      <w:r w:rsidRPr="00A2176E">
        <w:rPr>
          <w:rFonts w:ascii="Garamond" w:hAnsi="Garamond"/>
        </w:rPr>
        <w:t xml:space="preserve">In deciding whether to proceed or not with tourism concessioning, </w:t>
      </w:r>
      <w:r w:rsidR="00A2176E">
        <w:rPr>
          <w:rFonts w:ascii="Garamond" w:hAnsi="Garamond"/>
        </w:rPr>
        <w:t xml:space="preserve">carefully </w:t>
      </w:r>
      <w:r w:rsidRPr="00A2176E">
        <w:rPr>
          <w:rFonts w:ascii="Garamond" w:hAnsi="Garamond"/>
        </w:rPr>
        <w:t>consider the following:</w:t>
      </w:r>
    </w:p>
    <w:p w14:paraId="3A7248D8" w14:textId="77777777" w:rsidR="009D284C" w:rsidRPr="00A2176E" w:rsidRDefault="009D284C" w:rsidP="00E87144">
      <w:pPr>
        <w:spacing w:before="0" w:after="0" w:line="240" w:lineRule="auto"/>
        <w:rPr>
          <w:rFonts w:ascii="Garamond" w:hAnsi="Garamond"/>
        </w:rPr>
      </w:pPr>
    </w:p>
    <w:p w14:paraId="2D6C95CC" w14:textId="3B30BD44" w:rsidR="006A536D" w:rsidRPr="009D284C" w:rsidRDefault="006A536D" w:rsidP="00F47607">
      <w:pPr>
        <w:pStyle w:val="ListParagraph"/>
        <w:numPr>
          <w:ilvl w:val="0"/>
          <w:numId w:val="17"/>
        </w:numPr>
        <w:spacing w:before="0" w:after="0" w:line="240" w:lineRule="auto"/>
        <w:rPr>
          <w:rFonts w:ascii="Garamond" w:hAnsi="Garamond"/>
        </w:rPr>
      </w:pPr>
      <w:r w:rsidRPr="009D284C">
        <w:rPr>
          <w:rFonts w:ascii="Garamond" w:hAnsi="Garamond"/>
        </w:rPr>
        <w:t>Are the</w:t>
      </w:r>
      <w:r w:rsidR="00A2176E" w:rsidRPr="009D284C">
        <w:rPr>
          <w:rFonts w:ascii="Garamond" w:hAnsi="Garamond"/>
        </w:rPr>
        <w:t xml:space="preserve"> objectives of the concessioning proponents </w:t>
      </w:r>
      <w:r w:rsidRPr="009D284C">
        <w:rPr>
          <w:rFonts w:ascii="Garamond" w:hAnsi="Garamond"/>
        </w:rPr>
        <w:t>realistic?</w:t>
      </w:r>
    </w:p>
    <w:p w14:paraId="679D202B" w14:textId="1428E24C" w:rsidR="006A536D"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t>Is there political will for the process</w:t>
      </w:r>
      <w:r w:rsidR="00DB373E">
        <w:rPr>
          <w:rFonts w:ascii="Garamond" w:hAnsi="Garamond"/>
        </w:rPr>
        <w:t xml:space="preserve"> in the TFCA countries</w:t>
      </w:r>
      <w:r w:rsidRPr="009D284C">
        <w:rPr>
          <w:rFonts w:ascii="Garamond" w:hAnsi="Garamond"/>
        </w:rPr>
        <w:t>, and have champions been identified?</w:t>
      </w:r>
    </w:p>
    <w:p w14:paraId="508B4620" w14:textId="7F7E31AE" w:rsidR="00A2176E"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lastRenderedPageBreak/>
        <w:t xml:space="preserve">Are there suitable destinations available for concessions and </w:t>
      </w:r>
      <w:r w:rsidR="00DB373E">
        <w:rPr>
          <w:rFonts w:ascii="Garamond" w:hAnsi="Garamond"/>
        </w:rPr>
        <w:t xml:space="preserve">for </w:t>
      </w:r>
      <w:r w:rsidRPr="009D284C">
        <w:rPr>
          <w:rFonts w:ascii="Garamond" w:hAnsi="Garamond"/>
        </w:rPr>
        <w:t>appropriate tourism products?</w:t>
      </w:r>
    </w:p>
    <w:p w14:paraId="2D8078D0" w14:textId="19C3A46D" w:rsidR="00A2176E"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t>Are any of the barriers identified to concessi</w:t>
      </w:r>
      <w:r w:rsidR="00DB373E">
        <w:rPr>
          <w:rFonts w:ascii="Garamond" w:hAnsi="Garamond"/>
        </w:rPr>
        <w:t>oning ‘deal breakers’ for the PA</w:t>
      </w:r>
      <w:r w:rsidRPr="009D284C">
        <w:rPr>
          <w:rFonts w:ascii="Garamond" w:hAnsi="Garamond"/>
        </w:rPr>
        <w:t>A or investors?</w:t>
      </w:r>
    </w:p>
    <w:p w14:paraId="1B730370" w14:textId="77777777" w:rsidR="009D284C" w:rsidRDefault="009D284C" w:rsidP="00E87144">
      <w:pPr>
        <w:spacing w:before="0" w:after="0" w:line="240" w:lineRule="auto"/>
        <w:rPr>
          <w:rFonts w:ascii="Garamond" w:hAnsi="Garamond"/>
        </w:rPr>
      </w:pPr>
    </w:p>
    <w:p w14:paraId="142CAABE" w14:textId="4DFA4608" w:rsidR="00785625" w:rsidRDefault="00A2176E" w:rsidP="00E87144">
      <w:pPr>
        <w:spacing w:before="0" w:after="0" w:line="240" w:lineRule="auto"/>
        <w:rPr>
          <w:rFonts w:ascii="Garamond" w:hAnsi="Garamond"/>
        </w:rPr>
      </w:pPr>
      <w:r w:rsidRPr="00A2176E">
        <w:rPr>
          <w:rFonts w:ascii="Garamond" w:hAnsi="Garamond"/>
        </w:rPr>
        <w:t>If the responses to these questions are ‘yes’, then proceed to the next step. If ‘no’, then re-think the concessioning p</w:t>
      </w:r>
      <w:r w:rsidR="00DB373E">
        <w:rPr>
          <w:rFonts w:ascii="Garamond" w:hAnsi="Garamond"/>
        </w:rPr>
        <w:t>rogram</w:t>
      </w:r>
      <w:r w:rsidRPr="00A2176E">
        <w:rPr>
          <w:rFonts w:ascii="Garamond" w:hAnsi="Garamond"/>
        </w:rPr>
        <w:t>, and consider alternative options</w:t>
      </w:r>
      <w:r>
        <w:rPr>
          <w:rFonts w:ascii="Garamond" w:hAnsi="Garamond"/>
        </w:rPr>
        <w:t xml:space="preserve"> (e.g. delay concessioning until the conditions are favourable)</w:t>
      </w:r>
      <w:r w:rsidRPr="00A2176E">
        <w:rPr>
          <w:rFonts w:ascii="Garamond" w:hAnsi="Garamond"/>
        </w:rPr>
        <w:t xml:space="preserve">. </w:t>
      </w:r>
    </w:p>
    <w:p w14:paraId="155D6ED6" w14:textId="77777777" w:rsidR="00DB373E" w:rsidRDefault="00DB373E" w:rsidP="00E87144">
      <w:pPr>
        <w:spacing w:before="0" w:after="0" w:line="240" w:lineRule="auto"/>
        <w:rPr>
          <w:rFonts w:ascii="Garamond" w:hAnsi="Garamond"/>
        </w:rPr>
      </w:pPr>
    </w:p>
    <w:p w14:paraId="3C71B79F" w14:textId="21519415" w:rsidR="00DB373E" w:rsidRDefault="00153EAD" w:rsidP="00E87144">
      <w:pPr>
        <w:spacing w:before="0" w:after="0" w:line="240" w:lineRule="auto"/>
        <w:rPr>
          <w:rFonts w:ascii="Garamond" w:hAnsi="Garamond"/>
        </w:rPr>
      </w:pPr>
      <w:r>
        <w:rPr>
          <w:rFonts w:ascii="Garamond" w:hAnsi="Garamond"/>
          <w:noProof/>
        </w:rPr>
        <w:drawing>
          <wp:inline distT="0" distB="0" distL="0" distR="0" wp14:anchorId="51AAA545" wp14:editId="6E1A4A8E">
            <wp:extent cx="2254250" cy="660400"/>
            <wp:effectExtent l="50800" t="25400" r="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6BF4BF3" w14:textId="6498FDC7" w:rsidR="00C738B0" w:rsidRDefault="00C738B0">
      <w:pPr>
        <w:spacing w:before="0" w:after="0" w:line="240" w:lineRule="auto"/>
        <w:jc w:val="left"/>
        <w:rPr>
          <w:rFonts w:ascii="Garamond" w:hAnsi="Garamond"/>
        </w:rPr>
      </w:pPr>
      <w:r>
        <w:rPr>
          <w:rFonts w:ascii="Garamond" w:hAnsi="Garamond"/>
        </w:rPr>
        <w:br w:type="page"/>
      </w:r>
    </w:p>
    <w:p w14:paraId="5C4C974E" w14:textId="77777777" w:rsidR="00785625" w:rsidRPr="00785625" w:rsidRDefault="00785625" w:rsidP="00785625">
      <w:pPr>
        <w:pStyle w:val="ListParagraph"/>
        <w:spacing w:before="0" w:after="0" w:line="240" w:lineRule="auto"/>
        <w:ind w:left="459"/>
        <w:jc w:val="left"/>
        <w:rPr>
          <w:rFonts w:ascii="Garamond" w:hAnsi="Garamond"/>
        </w:rPr>
      </w:pPr>
    </w:p>
    <w:p w14:paraId="640BA19F" w14:textId="569DC649" w:rsidR="00D27357" w:rsidRPr="005662D1" w:rsidRDefault="009A640E" w:rsidP="005662D1">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18" w:name="_Toc269636329"/>
      <w:r>
        <w:rPr>
          <w:rFonts w:ascii="Garamond" w:hAnsi="Garamond"/>
        </w:rPr>
        <w:t>step 2: D</w:t>
      </w:r>
      <w:r w:rsidR="00785625">
        <w:rPr>
          <w:rFonts w:ascii="Garamond" w:hAnsi="Garamond"/>
        </w:rPr>
        <w:t>esign and feasibility</w:t>
      </w:r>
      <w:bookmarkEnd w:id="18"/>
    </w:p>
    <w:p w14:paraId="5747BAD2" w14:textId="2E478E59" w:rsidR="00CE6DB1" w:rsidRDefault="00345DD4" w:rsidP="00CE6DB1">
      <w:pPr>
        <w:spacing w:before="0" w:after="0" w:line="240" w:lineRule="auto"/>
        <w:jc w:val="left"/>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D710B8" w:rsidRPr="00D710B8">
        <w:rPr>
          <w:rFonts w:ascii="Garamond" w:hAnsi="Garamond"/>
          <w:highlight w:val="yellow"/>
        </w:rPr>
        <w:t>4-5 pages</w:t>
      </w:r>
    </w:p>
    <w:p w14:paraId="56F64C3E" w14:textId="77777777" w:rsidR="00C00F2B" w:rsidRDefault="00C00F2B" w:rsidP="00CB6A63">
      <w:pPr>
        <w:spacing w:before="0" w:after="0" w:line="240" w:lineRule="auto"/>
        <w:jc w:val="left"/>
        <w:rPr>
          <w:rFonts w:ascii="Garamond" w:hAnsi="Garamond"/>
        </w:rPr>
      </w:pPr>
    </w:p>
    <w:p w14:paraId="21E32E77" w14:textId="143F1592" w:rsidR="00CB6A63" w:rsidRDefault="00CB6A63" w:rsidP="00CB6A63">
      <w:pPr>
        <w:spacing w:before="0" w:after="0" w:line="240" w:lineRule="auto"/>
        <w:jc w:val="left"/>
        <w:rPr>
          <w:rFonts w:ascii="Garamond" w:hAnsi="Garamond"/>
        </w:rPr>
      </w:pPr>
      <w:r>
        <w:rPr>
          <w:rFonts w:ascii="Garamond" w:hAnsi="Garamond"/>
        </w:rPr>
        <w:t>The Design and Feasibility step establishes what the tourism concessioning program will look like, including available sites, tourism products to promote, and the type of concession model.   The design is aligned with the policy and planning context at national and local level, development objectives, and cognizant</w:t>
      </w:r>
      <w:r w:rsidR="00D17C95">
        <w:rPr>
          <w:rFonts w:ascii="Garamond" w:hAnsi="Garamond"/>
        </w:rPr>
        <w:t xml:space="preserve"> of potential risks.  By the end of this step, a high-level business plan will have been devised</w:t>
      </w:r>
      <w:r w:rsidR="005E18C7">
        <w:rPr>
          <w:rFonts w:ascii="Garamond" w:hAnsi="Garamond"/>
        </w:rPr>
        <w:t xml:space="preserve"> for the concessioning program</w:t>
      </w:r>
      <w:r w:rsidR="00D17C95">
        <w:rPr>
          <w:rFonts w:ascii="Garamond" w:hAnsi="Garamond"/>
        </w:rPr>
        <w:t xml:space="preserve">. </w:t>
      </w:r>
      <w:r>
        <w:rPr>
          <w:rFonts w:ascii="Garamond" w:hAnsi="Garamond"/>
        </w:rPr>
        <w:t xml:space="preserve"> </w:t>
      </w:r>
    </w:p>
    <w:p w14:paraId="311586DA" w14:textId="77777777" w:rsidR="00CB6A63" w:rsidRPr="00CE6DB1" w:rsidRDefault="00CB6A63" w:rsidP="00CE6DB1">
      <w:pPr>
        <w:spacing w:before="0" w:after="0" w:line="240" w:lineRule="auto"/>
        <w:jc w:val="left"/>
        <w:rPr>
          <w:rFonts w:ascii="Garamond" w:hAnsi="Garamond"/>
        </w:rPr>
      </w:pPr>
    </w:p>
    <w:p w14:paraId="57AED7FB" w14:textId="4971042B" w:rsidR="005662D1" w:rsidRDefault="00CE6DB1" w:rsidP="005662D1">
      <w:pPr>
        <w:pStyle w:val="ListParagraph"/>
        <w:spacing w:before="0" w:after="0" w:line="240" w:lineRule="auto"/>
        <w:ind w:left="459"/>
        <w:jc w:val="left"/>
        <w:rPr>
          <w:rFonts w:ascii="Garamond" w:hAnsi="Garamond"/>
          <w:noProof/>
          <w:color w:val="000000"/>
          <w:sz w:val="24"/>
          <w:szCs w:val="24"/>
        </w:rPr>
      </w:pPr>
      <w:r w:rsidRPr="00D45F0D">
        <w:rPr>
          <w:rFonts w:ascii="Garamond" w:hAnsi="Garamond"/>
          <w:noProof/>
          <w:color w:val="000000"/>
          <w:sz w:val="24"/>
          <w:szCs w:val="24"/>
        </w:rPr>
        <w:drawing>
          <wp:inline distT="0" distB="0" distL="0" distR="0" wp14:anchorId="0FB9B952" wp14:editId="1F87621E">
            <wp:extent cx="3109383" cy="1244177"/>
            <wp:effectExtent l="2540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F947A86" w14:textId="77777777" w:rsidR="00CE6DB1" w:rsidRPr="00CE6DB1" w:rsidRDefault="00CE6DB1" w:rsidP="00CE6DB1">
      <w:pPr>
        <w:spacing w:before="0" w:after="0" w:line="240" w:lineRule="auto"/>
        <w:jc w:val="left"/>
        <w:rPr>
          <w:rFonts w:ascii="Garamond" w:hAnsi="Garamond"/>
          <w:color w:val="000000"/>
          <w:sz w:val="24"/>
          <w:szCs w:val="24"/>
        </w:rPr>
      </w:pPr>
    </w:p>
    <w:p w14:paraId="4B6312BE" w14:textId="188DABA8" w:rsidR="002E65C5" w:rsidRDefault="004E7B90" w:rsidP="002E65C5">
      <w:pPr>
        <w:pStyle w:val="Heading3"/>
        <w:rPr>
          <w:rFonts w:ascii="Garamond" w:hAnsi="Garamond"/>
        </w:rPr>
      </w:pPr>
      <w:bookmarkStart w:id="19" w:name="_Ref268859156"/>
      <w:bookmarkStart w:id="20" w:name="_Ref269114662"/>
      <w:bookmarkStart w:id="21" w:name="_Toc269636330"/>
      <w:r>
        <w:rPr>
          <w:rFonts w:ascii="Garamond" w:hAnsi="Garamond"/>
        </w:rPr>
        <w:t>P</w:t>
      </w:r>
      <w:r w:rsidR="002E65C5">
        <w:rPr>
          <w:rFonts w:ascii="Garamond" w:hAnsi="Garamond"/>
        </w:rPr>
        <w:t>olicy and legislative framework</w:t>
      </w:r>
      <w:bookmarkEnd w:id="19"/>
      <w:bookmarkEnd w:id="20"/>
      <w:bookmarkEnd w:id="21"/>
    </w:p>
    <w:p w14:paraId="1E6868A0" w14:textId="77777777" w:rsidR="003841E9" w:rsidRDefault="003841E9" w:rsidP="003841E9">
      <w:pPr>
        <w:spacing w:before="0" w:after="0" w:line="240" w:lineRule="auto"/>
        <w:jc w:val="left"/>
      </w:pPr>
    </w:p>
    <w:p w14:paraId="75409446" w14:textId="1259A13C" w:rsidR="00346B44" w:rsidRDefault="009F51D8" w:rsidP="00221797">
      <w:pPr>
        <w:spacing w:before="0" w:after="0" w:line="240" w:lineRule="auto"/>
        <w:jc w:val="left"/>
        <w:rPr>
          <w:rFonts w:ascii="Garamond" w:hAnsi="Garamond"/>
        </w:rPr>
      </w:pPr>
      <w:r>
        <w:rPr>
          <w:rFonts w:ascii="Garamond" w:hAnsi="Garamond"/>
        </w:rPr>
        <w:t xml:space="preserve">A legal assessment is needed to establish whether the conditions are viable for tourism concessions. This includes at </w:t>
      </w:r>
      <w:r w:rsidR="00346B44">
        <w:rPr>
          <w:rFonts w:ascii="Garamond" w:hAnsi="Garamond"/>
        </w:rPr>
        <w:t>national level and</w:t>
      </w:r>
      <w:r>
        <w:rPr>
          <w:rFonts w:ascii="Garamond" w:hAnsi="Garamond"/>
        </w:rPr>
        <w:t xml:space="preserve"> </w:t>
      </w:r>
      <w:r w:rsidR="00346B44">
        <w:rPr>
          <w:rFonts w:ascii="Garamond" w:hAnsi="Garamond"/>
        </w:rPr>
        <w:t xml:space="preserve">concession </w:t>
      </w:r>
      <w:r>
        <w:rPr>
          <w:rFonts w:ascii="Garamond" w:hAnsi="Garamond"/>
        </w:rPr>
        <w:t xml:space="preserve">site level (e.g. for immobile tourism products), and </w:t>
      </w:r>
      <w:r w:rsidR="00346B44">
        <w:rPr>
          <w:rFonts w:ascii="Garamond" w:hAnsi="Garamond"/>
        </w:rPr>
        <w:t xml:space="preserve">international level (e.g. for transboundary products).  </w:t>
      </w:r>
      <w:r w:rsidR="00B25085">
        <w:rPr>
          <w:rFonts w:ascii="Garamond" w:hAnsi="Garamond"/>
        </w:rPr>
        <w:t xml:space="preserve">In some countries, the legal framework outlines the way in which a concessions process should be conducted (see </w:t>
      </w:r>
      <w:r w:rsidR="00B25085" w:rsidRPr="00B25085">
        <w:rPr>
          <w:rFonts w:ascii="Garamond" w:hAnsi="Garamond"/>
        </w:rPr>
        <w:fldChar w:fldCharType="begin"/>
      </w:r>
      <w:r w:rsidR="00B25085" w:rsidRPr="00B25085">
        <w:rPr>
          <w:rFonts w:ascii="Garamond" w:hAnsi="Garamond"/>
        </w:rPr>
        <w:instrText xml:space="preserve"> REF _Ref268859074 \h </w:instrText>
      </w:r>
      <w:r w:rsidR="00B25085" w:rsidRPr="00B25085">
        <w:rPr>
          <w:rFonts w:ascii="Garamond" w:hAnsi="Garamond"/>
        </w:rPr>
      </w:r>
      <w:r w:rsidR="00B25085" w:rsidRPr="00B25085">
        <w:rPr>
          <w:rFonts w:ascii="Garamond" w:hAnsi="Garamond"/>
        </w:rPr>
        <w:fldChar w:fldCharType="separate"/>
      </w:r>
      <w:r w:rsidR="00B25085" w:rsidRPr="00B25085">
        <w:rPr>
          <w:rFonts w:ascii="Garamond" w:hAnsi="Garamond"/>
        </w:rPr>
        <w:t xml:space="preserve">Box </w:t>
      </w:r>
      <w:r w:rsidR="00B25085" w:rsidRPr="00B25085">
        <w:rPr>
          <w:rFonts w:ascii="Garamond" w:hAnsi="Garamond"/>
          <w:noProof/>
        </w:rPr>
        <w:t>2</w:t>
      </w:r>
      <w:r w:rsidR="00B25085" w:rsidRPr="00B25085">
        <w:rPr>
          <w:rFonts w:ascii="Garamond" w:hAnsi="Garamond"/>
        </w:rPr>
        <w:fldChar w:fldCharType="end"/>
      </w:r>
      <w:r w:rsidR="00B25085" w:rsidRPr="00B25085">
        <w:rPr>
          <w:rFonts w:ascii="Garamond" w:hAnsi="Garamond"/>
        </w:rPr>
        <w:t>).</w:t>
      </w:r>
      <w:r w:rsidR="00B25085">
        <w:rPr>
          <w:rFonts w:ascii="Garamond" w:hAnsi="Garamond"/>
        </w:rPr>
        <w:t xml:space="preserve"> </w:t>
      </w:r>
    </w:p>
    <w:p w14:paraId="6415956D" w14:textId="77777777" w:rsidR="00B25085" w:rsidRDefault="00B25085" w:rsidP="00221797">
      <w:pPr>
        <w:spacing w:before="0" w:after="0" w:line="240" w:lineRule="auto"/>
        <w:jc w:val="left"/>
        <w:rPr>
          <w:rFonts w:ascii="Garamond" w:hAnsi="Garamond"/>
        </w:rPr>
      </w:pPr>
    </w:p>
    <w:p w14:paraId="7C2B41BF" w14:textId="7EAFA0C7" w:rsidR="00B25085" w:rsidRPr="00506C12" w:rsidRDefault="00B25085" w:rsidP="00B25085">
      <w:pPr>
        <w:spacing w:before="0" w:after="0" w:line="240" w:lineRule="auto"/>
        <w:rPr>
          <w:rFonts w:ascii="Garamond" w:hAnsi="Garamond"/>
          <w:b/>
        </w:rPr>
      </w:pPr>
      <w:bookmarkStart w:id="22" w:name="_Ref268859074"/>
      <w:bookmarkStart w:id="23" w:name="_Toc269636036"/>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2</w:t>
      </w:r>
      <w:r w:rsidRPr="00506C12">
        <w:rPr>
          <w:rFonts w:ascii="Garamond" w:hAnsi="Garamond"/>
          <w:b/>
        </w:rPr>
        <w:fldChar w:fldCharType="end"/>
      </w:r>
      <w:bookmarkEnd w:id="22"/>
      <w:r>
        <w:rPr>
          <w:rFonts w:ascii="Garamond" w:hAnsi="Garamond"/>
          <w:b/>
        </w:rPr>
        <w:t xml:space="preserve">: </w:t>
      </w:r>
      <w:r w:rsidRPr="006A382A">
        <w:rPr>
          <w:rFonts w:ascii="Garamond" w:hAnsi="Garamond"/>
          <w:b/>
        </w:rPr>
        <w:t>Examples of legal frameworks for tourism concessions</w:t>
      </w:r>
      <w:r>
        <w:rPr>
          <w:rFonts w:ascii="Garamond" w:hAnsi="Garamond"/>
          <w:b/>
        </w:rPr>
        <w:t>: Namibia and South Africa</w:t>
      </w:r>
      <w:bookmarkEnd w:id="23"/>
    </w:p>
    <w:tbl>
      <w:tblPr>
        <w:tblStyle w:val="TableGrid"/>
        <w:tblW w:w="0" w:type="auto"/>
        <w:tblLook w:val="04A0" w:firstRow="1" w:lastRow="0" w:firstColumn="1" w:lastColumn="0" w:noHBand="0" w:noVBand="1"/>
      </w:tblPr>
      <w:tblGrid>
        <w:gridCol w:w="9242"/>
      </w:tblGrid>
      <w:tr w:rsidR="00B25085" w14:paraId="46E7E3E3" w14:textId="77777777" w:rsidTr="00B25085">
        <w:tc>
          <w:tcPr>
            <w:tcW w:w="9242" w:type="dxa"/>
          </w:tcPr>
          <w:p w14:paraId="2286467B" w14:textId="77777777" w:rsidR="00B25085" w:rsidRDefault="00B25085" w:rsidP="00B25085">
            <w:pPr>
              <w:spacing w:before="0" w:after="0" w:line="240" w:lineRule="auto"/>
              <w:jc w:val="left"/>
              <w:rPr>
                <w:rFonts w:ascii="Garamond" w:hAnsi="Garamond"/>
                <w:b/>
              </w:rPr>
            </w:pPr>
          </w:p>
          <w:p w14:paraId="144AAD89" w14:textId="77777777" w:rsidR="00B25085" w:rsidRDefault="00B25085" w:rsidP="00B25085">
            <w:pPr>
              <w:spacing w:before="0" w:after="0" w:line="240" w:lineRule="auto"/>
              <w:jc w:val="left"/>
              <w:rPr>
                <w:rFonts w:ascii="Garamond" w:hAnsi="Garamond"/>
              </w:rPr>
            </w:pPr>
            <w:r w:rsidRPr="00A36621">
              <w:rPr>
                <w:rFonts w:ascii="Garamond" w:hAnsi="Garamond"/>
                <w:b/>
              </w:rPr>
              <w:t>Namibia:</w:t>
            </w:r>
            <w:r>
              <w:rPr>
                <w:rFonts w:ascii="Garamond" w:hAnsi="Garamond"/>
              </w:rPr>
              <w:t xml:space="preserve"> The Tender Board of Namibia Act authorizes the allocation of wildlife and tourism concessions on behalf of the minister in proclaimed protected areas</w:t>
            </w:r>
            <w:r>
              <w:rPr>
                <w:rStyle w:val="FootnoteReference"/>
                <w:rFonts w:ascii="Garamond" w:hAnsi="Garamond"/>
              </w:rPr>
              <w:footnoteReference w:id="11"/>
            </w:r>
            <w:r>
              <w:rPr>
                <w:rFonts w:ascii="Garamond" w:hAnsi="Garamond"/>
              </w:rPr>
              <w:t>.  The Policy on Tourism and Wildlife Concessions on State Land guides the fair, transparent and efficient awarding of concessions on state lands, including the country’s protected areas. The policy includes how concession opportunities are identified and awarded, and how they are monitored and evaluated.</w:t>
            </w:r>
            <w:r>
              <w:rPr>
                <w:rStyle w:val="FootnoteReference"/>
                <w:rFonts w:ascii="Garamond" w:hAnsi="Garamond"/>
              </w:rPr>
              <w:footnoteReference w:id="12"/>
            </w:r>
            <w:r>
              <w:rPr>
                <w:rFonts w:ascii="Garamond" w:hAnsi="Garamond"/>
              </w:rPr>
              <w:t xml:space="preserve"> </w:t>
            </w:r>
          </w:p>
          <w:p w14:paraId="0FF013E0" w14:textId="77777777" w:rsidR="00B25085" w:rsidRPr="006A382A" w:rsidRDefault="00B25085" w:rsidP="00B25085">
            <w:pPr>
              <w:spacing w:before="0" w:after="0" w:line="240" w:lineRule="auto"/>
              <w:jc w:val="left"/>
              <w:rPr>
                <w:rFonts w:ascii="Garamond" w:hAnsi="Garamond"/>
              </w:rPr>
            </w:pPr>
          </w:p>
          <w:p w14:paraId="7E12E6F4" w14:textId="22952E48" w:rsidR="00B25085" w:rsidRDefault="00B25085" w:rsidP="00B25085">
            <w:pPr>
              <w:spacing w:before="0" w:after="0" w:line="240" w:lineRule="auto"/>
              <w:jc w:val="left"/>
              <w:rPr>
                <w:rFonts w:ascii="Garamond" w:hAnsi="Garamond"/>
              </w:rPr>
            </w:pPr>
            <w:r w:rsidRPr="006A382A">
              <w:rPr>
                <w:rFonts w:ascii="Garamond" w:hAnsi="Garamond"/>
                <w:b/>
              </w:rPr>
              <w:t>South Africa:</w:t>
            </w:r>
            <w:r w:rsidRPr="006A382A">
              <w:rPr>
                <w:rFonts w:ascii="Garamond" w:hAnsi="Garamond"/>
              </w:rPr>
              <w:t xml:space="preserve"> </w:t>
            </w:r>
            <w:r w:rsidRPr="006A382A">
              <w:rPr>
                <w:rFonts w:ascii="Garamond" w:hAnsi="Garamond"/>
                <w:lang w:val="en-ZA"/>
              </w:rPr>
              <w:t xml:space="preserve">The Public Finance Management Act has certain provisions </w:t>
            </w:r>
            <w:r w:rsidR="0059702F">
              <w:rPr>
                <w:rFonts w:ascii="Garamond" w:hAnsi="Garamond"/>
                <w:lang w:val="en-ZA"/>
              </w:rPr>
              <w:t>that</w:t>
            </w:r>
            <w:r w:rsidRPr="006A382A">
              <w:rPr>
                <w:rFonts w:ascii="Garamond" w:hAnsi="Garamond"/>
                <w:lang w:val="en-ZA"/>
              </w:rPr>
              <w:t xml:space="preserve"> regulate</w:t>
            </w:r>
            <w:r>
              <w:rPr>
                <w:rFonts w:ascii="Garamond" w:hAnsi="Garamond"/>
                <w:lang w:val="en-ZA"/>
              </w:rPr>
              <w:t xml:space="preserve"> public private partnerships</w:t>
            </w:r>
            <w:r w:rsidRPr="006A382A">
              <w:rPr>
                <w:rFonts w:ascii="Garamond" w:hAnsi="Garamond"/>
                <w:lang w:val="en-ZA"/>
              </w:rPr>
              <w:t xml:space="preserve"> these arrangements.  The National Treasury has developed a Toolkit which provides a framework for implementing </w:t>
            </w:r>
            <w:r>
              <w:rPr>
                <w:rFonts w:ascii="Garamond" w:hAnsi="Garamond"/>
                <w:lang w:val="en-ZA"/>
              </w:rPr>
              <w:t>Public Private Partnerships</w:t>
            </w:r>
            <w:r w:rsidRPr="006A382A">
              <w:rPr>
                <w:rFonts w:ascii="Garamond" w:hAnsi="Garamond"/>
                <w:lang w:val="en-ZA"/>
              </w:rPr>
              <w:t xml:space="preserve"> in state controlled game reserves and national parks.  All agreements now require National Treasury approval and a defined process must be followed</w:t>
            </w:r>
            <w:r w:rsidRPr="006A382A">
              <w:rPr>
                <w:rStyle w:val="FootnoteReference"/>
                <w:rFonts w:ascii="Garamond" w:hAnsi="Garamond"/>
              </w:rPr>
              <w:footnoteReference w:id="13"/>
            </w:r>
            <w:r w:rsidRPr="006A382A">
              <w:rPr>
                <w:rFonts w:ascii="Garamond" w:hAnsi="Garamond"/>
              </w:rPr>
              <w:t xml:space="preserve">. </w:t>
            </w:r>
          </w:p>
          <w:p w14:paraId="08372735" w14:textId="77777777" w:rsidR="00B25085" w:rsidRPr="008161EF" w:rsidRDefault="00B25085" w:rsidP="00B25085">
            <w:pPr>
              <w:spacing w:before="0" w:after="0" w:line="240" w:lineRule="auto"/>
              <w:jc w:val="left"/>
              <w:rPr>
                <w:rFonts w:ascii="Garamond" w:hAnsi="Garamond"/>
              </w:rPr>
            </w:pPr>
          </w:p>
        </w:tc>
      </w:tr>
    </w:tbl>
    <w:p w14:paraId="15D810C2" w14:textId="77777777" w:rsidR="00346B44" w:rsidRDefault="00346B44" w:rsidP="00221797">
      <w:pPr>
        <w:spacing w:before="0" w:after="0" w:line="240" w:lineRule="auto"/>
        <w:jc w:val="left"/>
        <w:rPr>
          <w:rFonts w:ascii="Garamond" w:hAnsi="Garamond"/>
        </w:rPr>
      </w:pPr>
    </w:p>
    <w:p w14:paraId="06C38FFB" w14:textId="036F7DE0" w:rsidR="00221797" w:rsidRDefault="00221797" w:rsidP="00221797">
      <w:pPr>
        <w:spacing w:before="0" w:after="0" w:line="240" w:lineRule="auto"/>
        <w:jc w:val="left"/>
        <w:rPr>
          <w:rFonts w:ascii="Garamond" w:hAnsi="Garamond"/>
        </w:rPr>
      </w:pPr>
      <w:r>
        <w:rPr>
          <w:rFonts w:ascii="Garamond" w:hAnsi="Garamond"/>
        </w:rPr>
        <w:t xml:space="preserve">The </w:t>
      </w:r>
      <w:r w:rsidR="00346B44" w:rsidRPr="00346B44">
        <w:rPr>
          <w:rFonts w:ascii="Garamond" w:hAnsi="Garamond"/>
          <w:b/>
        </w:rPr>
        <w:t xml:space="preserve">national and regional </w:t>
      </w:r>
      <w:r w:rsidRPr="00346B44">
        <w:rPr>
          <w:rFonts w:ascii="Garamond" w:hAnsi="Garamond"/>
          <w:b/>
        </w:rPr>
        <w:t>legal framework</w:t>
      </w:r>
      <w:r>
        <w:rPr>
          <w:rFonts w:ascii="Garamond" w:hAnsi="Garamond"/>
        </w:rPr>
        <w:t xml:space="preserve"> should essentially provide for a concessionaire operating in a </w:t>
      </w:r>
      <w:r w:rsidR="00346B44">
        <w:rPr>
          <w:rFonts w:ascii="Garamond" w:hAnsi="Garamond"/>
        </w:rPr>
        <w:t>TFCA</w:t>
      </w:r>
      <w:r>
        <w:rPr>
          <w:rFonts w:ascii="Garamond" w:hAnsi="Garamond"/>
        </w:rPr>
        <w:t xml:space="preserve">, to operate </w:t>
      </w:r>
      <w:r w:rsidR="00F270BA">
        <w:rPr>
          <w:rFonts w:ascii="Garamond" w:hAnsi="Garamond"/>
        </w:rPr>
        <w:t xml:space="preserve">including </w:t>
      </w:r>
      <w:r>
        <w:rPr>
          <w:rFonts w:ascii="Garamond" w:hAnsi="Garamond"/>
        </w:rPr>
        <w:t>the following conditions</w:t>
      </w:r>
      <w:r w:rsidR="00171353">
        <w:rPr>
          <w:rStyle w:val="FootnoteReference"/>
          <w:rFonts w:ascii="Garamond" w:hAnsi="Garamond"/>
        </w:rPr>
        <w:footnoteReference w:id="14"/>
      </w:r>
      <w:r>
        <w:rPr>
          <w:rFonts w:ascii="Garamond" w:hAnsi="Garamond"/>
        </w:rPr>
        <w:t xml:space="preserve">: </w:t>
      </w:r>
    </w:p>
    <w:p w14:paraId="7A82C194" w14:textId="77777777" w:rsidR="00221797" w:rsidRDefault="00221797" w:rsidP="00221797">
      <w:pPr>
        <w:spacing w:before="0" w:after="0" w:line="240" w:lineRule="auto"/>
        <w:jc w:val="left"/>
        <w:rPr>
          <w:rFonts w:ascii="Garamond" w:hAnsi="Garamond"/>
        </w:rPr>
      </w:pPr>
    </w:p>
    <w:p w14:paraId="20207F63" w14:textId="41FF8727" w:rsidR="00171353" w:rsidRPr="00171353" w:rsidRDefault="00221797" w:rsidP="00F47607">
      <w:pPr>
        <w:pStyle w:val="ListParagraph"/>
        <w:numPr>
          <w:ilvl w:val="0"/>
          <w:numId w:val="7"/>
        </w:numPr>
        <w:spacing w:before="0" w:after="0" w:line="240" w:lineRule="auto"/>
        <w:jc w:val="left"/>
        <w:rPr>
          <w:rFonts w:ascii="Garamond" w:hAnsi="Garamond"/>
        </w:rPr>
      </w:pPr>
      <w:r w:rsidRPr="00221797">
        <w:rPr>
          <w:rFonts w:ascii="Garamond" w:hAnsi="Garamond"/>
          <w:b/>
        </w:rPr>
        <w:t>stable land tenure</w:t>
      </w:r>
      <w:r>
        <w:rPr>
          <w:rFonts w:ascii="Garamond" w:hAnsi="Garamond"/>
        </w:rPr>
        <w:t xml:space="preserve"> for</w:t>
      </w:r>
      <w:r w:rsidRPr="004A2A60">
        <w:rPr>
          <w:rFonts w:ascii="Garamond" w:hAnsi="Garamond"/>
        </w:rPr>
        <w:t xml:space="preserve"> a specified duration</w:t>
      </w:r>
      <w:r>
        <w:rPr>
          <w:rFonts w:ascii="Garamond" w:hAnsi="Garamond"/>
        </w:rPr>
        <w:t>, and also in relation to pricing and transferability of land. These are critical factors that can affect the ability of</w:t>
      </w:r>
      <w:r w:rsidR="00171353">
        <w:rPr>
          <w:rFonts w:ascii="Garamond" w:hAnsi="Garamond"/>
        </w:rPr>
        <w:t xml:space="preserve"> an investor to obtain finance;</w:t>
      </w:r>
    </w:p>
    <w:p w14:paraId="5703A9B3" w14:textId="1B6A6815" w:rsidR="00221797" w:rsidRPr="000D5D13" w:rsidRDefault="00221797" w:rsidP="00F47607">
      <w:pPr>
        <w:pStyle w:val="ListParagraph"/>
        <w:numPr>
          <w:ilvl w:val="0"/>
          <w:numId w:val="7"/>
        </w:numPr>
        <w:spacing w:before="0" w:after="0" w:line="240" w:lineRule="auto"/>
        <w:jc w:val="left"/>
        <w:rPr>
          <w:rFonts w:ascii="Garamond" w:hAnsi="Garamond"/>
        </w:rPr>
      </w:pPr>
      <w:r w:rsidRPr="00221797">
        <w:rPr>
          <w:rFonts w:ascii="Garamond" w:hAnsi="Garamond"/>
          <w:b/>
        </w:rPr>
        <w:lastRenderedPageBreak/>
        <w:t>options to use natural resources</w:t>
      </w:r>
      <w:r>
        <w:rPr>
          <w:rFonts w:ascii="Garamond" w:hAnsi="Garamond"/>
        </w:rPr>
        <w:t xml:space="preserve"> in relation to the type of tourism product (e.g. hunting, photographic tourism, fishing); </w:t>
      </w:r>
    </w:p>
    <w:p w14:paraId="42922E0A" w14:textId="4467BD66" w:rsidR="00221797" w:rsidRPr="004A2A60" w:rsidRDefault="00221797" w:rsidP="00F47607">
      <w:pPr>
        <w:pStyle w:val="ListParagraph"/>
        <w:numPr>
          <w:ilvl w:val="0"/>
          <w:numId w:val="7"/>
        </w:numPr>
        <w:spacing w:before="0" w:after="0" w:line="240" w:lineRule="auto"/>
        <w:jc w:val="left"/>
        <w:rPr>
          <w:rFonts w:ascii="Garamond" w:hAnsi="Garamond"/>
        </w:rPr>
      </w:pPr>
      <w:r w:rsidRPr="00221797">
        <w:rPr>
          <w:rFonts w:ascii="Garamond" w:hAnsi="Garamond"/>
          <w:b/>
        </w:rPr>
        <w:t>permission construct infrastructure</w:t>
      </w:r>
      <w:r w:rsidRPr="004A2A60">
        <w:rPr>
          <w:rFonts w:ascii="Garamond" w:hAnsi="Garamond"/>
        </w:rPr>
        <w:t xml:space="preserve"> where relevant to their commercial activity (e.g. accommodation, </w:t>
      </w:r>
      <w:r>
        <w:rPr>
          <w:rFonts w:ascii="Garamond" w:hAnsi="Garamond"/>
        </w:rPr>
        <w:t xml:space="preserve">restaurant, retail outlets etc), subject to local Environmental Impact Assessment </w:t>
      </w:r>
      <w:r w:rsidR="00C738B0">
        <w:rPr>
          <w:rFonts w:ascii="Garamond" w:hAnsi="Garamond"/>
        </w:rPr>
        <w:t xml:space="preserve">(EIA) </w:t>
      </w:r>
      <w:r>
        <w:rPr>
          <w:rFonts w:ascii="Garamond" w:hAnsi="Garamond"/>
        </w:rPr>
        <w:t>regulations;</w:t>
      </w:r>
    </w:p>
    <w:p w14:paraId="7CFD12B1" w14:textId="7B337689" w:rsidR="00221797" w:rsidRPr="004A2A60" w:rsidRDefault="00221797" w:rsidP="00F47607">
      <w:pPr>
        <w:pStyle w:val="ListParagraph"/>
        <w:numPr>
          <w:ilvl w:val="0"/>
          <w:numId w:val="7"/>
        </w:numPr>
        <w:spacing w:before="0" w:after="0" w:line="240" w:lineRule="auto"/>
        <w:jc w:val="left"/>
        <w:rPr>
          <w:rFonts w:ascii="Garamond" w:hAnsi="Garamond"/>
        </w:rPr>
      </w:pPr>
      <w:r>
        <w:rPr>
          <w:rFonts w:ascii="Garamond" w:hAnsi="Garamond"/>
        </w:rPr>
        <w:t xml:space="preserve">ability for the private sector to </w:t>
      </w:r>
      <w:r w:rsidRPr="00221797">
        <w:rPr>
          <w:rFonts w:ascii="Garamond" w:hAnsi="Garamond"/>
          <w:b/>
        </w:rPr>
        <w:t>generate and retain revenue</w:t>
      </w:r>
      <w:r w:rsidRPr="004A2A60">
        <w:rPr>
          <w:rFonts w:ascii="Garamond" w:hAnsi="Garamond"/>
        </w:rPr>
        <w:t xml:space="preserve"> from commercial activities, </w:t>
      </w:r>
      <w:r w:rsidR="0030677F">
        <w:rPr>
          <w:rFonts w:ascii="Garamond" w:hAnsi="Garamond"/>
        </w:rPr>
        <w:t>and to repatriate their profits, without double-taxation costs;</w:t>
      </w:r>
    </w:p>
    <w:p w14:paraId="13C30112" w14:textId="20C79284" w:rsidR="00221797" w:rsidRPr="004A2A60" w:rsidRDefault="00221797" w:rsidP="00F47607">
      <w:pPr>
        <w:pStyle w:val="ListParagraph"/>
        <w:numPr>
          <w:ilvl w:val="0"/>
          <w:numId w:val="7"/>
        </w:numPr>
        <w:spacing w:before="0" w:after="0" w:line="240" w:lineRule="auto"/>
        <w:jc w:val="left"/>
        <w:rPr>
          <w:rFonts w:ascii="Garamond" w:hAnsi="Garamond"/>
        </w:rPr>
      </w:pPr>
      <w:r>
        <w:rPr>
          <w:rFonts w:ascii="Garamond" w:hAnsi="Garamond"/>
        </w:rPr>
        <w:t xml:space="preserve">be able to </w:t>
      </w:r>
      <w:r w:rsidRPr="00221797">
        <w:rPr>
          <w:rFonts w:ascii="Garamond" w:hAnsi="Garamond"/>
          <w:b/>
        </w:rPr>
        <w:t>bring in capital investment</w:t>
      </w:r>
      <w:r>
        <w:rPr>
          <w:rFonts w:ascii="Garamond" w:hAnsi="Garamond"/>
        </w:rPr>
        <w:t xml:space="preserve"> from other countries</w:t>
      </w:r>
      <w:r w:rsidR="00346B44">
        <w:rPr>
          <w:rFonts w:ascii="Garamond" w:hAnsi="Garamond"/>
        </w:rPr>
        <w:t xml:space="preserve"> if needed</w:t>
      </w:r>
      <w:r w:rsidRPr="004A2A60">
        <w:rPr>
          <w:rFonts w:ascii="Garamond" w:hAnsi="Garamond"/>
        </w:rPr>
        <w:t>, and to repatriate these funds at the end of the concession period if the facility is sold;</w:t>
      </w:r>
    </w:p>
    <w:p w14:paraId="75C4698D" w14:textId="01556747" w:rsidR="00221797" w:rsidRPr="004A2A60" w:rsidRDefault="00221797" w:rsidP="00F47607">
      <w:pPr>
        <w:pStyle w:val="ListParagraph"/>
        <w:numPr>
          <w:ilvl w:val="0"/>
          <w:numId w:val="7"/>
        </w:numPr>
        <w:spacing w:before="0" w:after="0" w:line="240" w:lineRule="auto"/>
        <w:jc w:val="left"/>
        <w:rPr>
          <w:rFonts w:ascii="Garamond" w:hAnsi="Garamond"/>
        </w:rPr>
      </w:pPr>
      <w:r w:rsidRPr="004A2A60">
        <w:rPr>
          <w:rFonts w:ascii="Garamond" w:hAnsi="Garamond"/>
        </w:rPr>
        <w:t xml:space="preserve">be able to </w:t>
      </w:r>
      <w:r w:rsidRPr="0030677F">
        <w:rPr>
          <w:rFonts w:ascii="Garamond" w:hAnsi="Garamond"/>
          <w:b/>
        </w:rPr>
        <w:t>import of materials</w:t>
      </w:r>
      <w:r w:rsidR="0030677F" w:rsidRPr="0030677F">
        <w:rPr>
          <w:rFonts w:ascii="Garamond" w:hAnsi="Garamond"/>
          <w:b/>
        </w:rPr>
        <w:t>, equipment</w:t>
      </w:r>
      <w:r w:rsidRPr="0030677F">
        <w:rPr>
          <w:rFonts w:ascii="Garamond" w:hAnsi="Garamond"/>
          <w:b/>
        </w:rPr>
        <w:t xml:space="preserve"> and/or labour</w:t>
      </w:r>
      <w:r w:rsidRPr="004A2A60">
        <w:rPr>
          <w:rFonts w:ascii="Garamond" w:hAnsi="Garamond"/>
        </w:rPr>
        <w:t xml:space="preserve"> to support the </w:t>
      </w:r>
      <w:r w:rsidR="0030677F">
        <w:rPr>
          <w:rFonts w:ascii="Garamond" w:hAnsi="Garamond"/>
        </w:rPr>
        <w:t>concession development and operation</w:t>
      </w:r>
      <w:r w:rsidRPr="004A2A60">
        <w:rPr>
          <w:rFonts w:ascii="Garamond" w:hAnsi="Garamond"/>
        </w:rPr>
        <w:t xml:space="preserve">; </w:t>
      </w:r>
      <w:r w:rsidR="00C738B0">
        <w:rPr>
          <w:rFonts w:ascii="Garamond" w:hAnsi="Garamond"/>
        </w:rPr>
        <w:t>and</w:t>
      </w:r>
    </w:p>
    <w:p w14:paraId="54B7B147" w14:textId="45EBD5A2" w:rsidR="00221797" w:rsidRPr="00346B44" w:rsidRDefault="00221797" w:rsidP="00F47607">
      <w:pPr>
        <w:pStyle w:val="ListParagraph"/>
        <w:numPr>
          <w:ilvl w:val="0"/>
          <w:numId w:val="7"/>
        </w:numPr>
        <w:spacing w:before="0" w:after="0" w:line="240" w:lineRule="auto"/>
        <w:jc w:val="left"/>
        <w:rPr>
          <w:rFonts w:ascii="Garamond" w:hAnsi="Garamond"/>
        </w:rPr>
      </w:pPr>
      <w:r>
        <w:rPr>
          <w:rFonts w:ascii="Garamond" w:hAnsi="Garamond"/>
        </w:rPr>
        <w:t xml:space="preserve">ability to </w:t>
      </w:r>
      <w:r w:rsidRPr="00221797">
        <w:rPr>
          <w:rFonts w:ascii="Garamond" w:hAnsi="Garamond"/>
          <w:b/>
        </w:rPr>
        <w:t>bring tourists into the concession area</w:t>
      </w:r>
      <w:r w:rsidRPr="004A2A60">
        <w:rPr>
          <w:rFonts w:ascii="Garamond" w:hAnsi="Garamond"/>
        </w:rPr>
        <w:t>, without o</w:t>
      </w:r>
      <w:r>
        <w:rPr>
          <w:rFonts w:ascii="Garamond" w:hAnsi="Garamond"/>
        </w:rPr>
        <w:t>nerous visa authori</w:t>
      </w:r>
      <w:r w:rsidR="00346B44">
        <w:rPr>
          <w:rFonts w:ascii="Garamond" w:hAnsi="Garamond"/>
        </w:rPr>
        <w:t>sation rules or excessive costs</w:t>
      </w:r>
      <w:r w:rsidRPr="00346B44">
        <w:rPr>
          <w:rFonts w:ascii="Garamond" w:hAnsi="Garamond"/>
        </w:rPr>
        <w:t>.</w:t>
      </w:r>
    </w:p>
    <w:p w14:paraId="24E7869D" w14:textId="77777777" w:rsidR="008161EF" w:rsidRDefault="008161EF" w:rsidP="008161EF">
      <w:pPr>
        <w:spacing w:before="0" w:after="0" w:line="240" w:lineRule="auto"/>
        <w:jc w:val="left"/>
        <w:rPr>
          <w:rFonts w:ascii="Garamond" w:hAnsi="Garamond"/>
        </w:rPr>
      </w:pPr>
    </w:p>
    <w:p w14:paraId="67A6F1DF" w14:textId="017EAC0A" w:rsidR="00171353" w:rsidRDefault="00171353" w:rsidP="00E87144">
      <w:pPr>
        <w:spacing w:before="0" w:after="0" w:line="240" w:lineRule="auto"/>
        <w:rPr>
          <w:rFonts w:ascii="Garamond" w:hAnsi="Garamond"/>
        </w:rPr>
      </w:pPr>
      <w:r>
        <w:rPr>
          <w:rFonts w:ascii="Garamond" w:hAnsi="Garamond"/>
        </w:rPr>
        <w:t xml:space="preserve">The legal framework should also allow revenue paid to the authority by the concessionaire to be used to finance conservation management and maintenance relating to the concession. </w:t>
      </w:r>
    </w:p>
    <w:p w14:paraId="38852522" w14:textId="77777777" w:rsidR="00E87144" w:rsidRDefault="00E87144" w:rsidP="00E87144">
      <w:pPr>
        <w:spacing w:before="0" w:after="0" w:line="240" w:lineRule="auto"/>
        <w:rPr>
          <w:rFonts w:ascii="Garamond" w:hAnsi="Garamond"/>
        </w:rPr>
      </w:pPr>
    </w:p>
    <w:p w14:paraId="693FD3E6" w14:textId="48580EE7" w:rsidR="002E65C5" w:rsidRDefault="00346B44" w:rsidP="00E87144">
      <w:pPr>
        <w:spacing w:before="0" w:after="0" w:line="240" w:lineRule="auto"/>
        <w:rPr>
          <w:rFonts w:ascii="Garamond" w:hAnsi="Garamond"/>
        </w:rPr>
      </w:pPr>
      <w:r w:rsidRPr="004C4D9A">
        <w:rPr>
          <w:rFonts w:ascii="Garamond" w:hAnsi="Garamond"/>
        </w:rPr>
        <w:t xml:space="preserve">At concession level, a legal assessment should include: </w:t>
      </w:r>
    </w:p>
    <w:p w14:paraId="68F0A326" w14:textId="77777777" w:rsidR="00E87144" w:rsidRPr="004C4D9A" w:rsidRDefault="00E87144" w:rsidP="00E87144">
      <w:pPr>
        <w:spacing w:before="0" w:after="0" w:line="240" w:lineRule="auto"/>
        <w:rPr>
          <w:rFonts w:ascii="Garamond" w:hAnsi="Garamond"/>
        </w:rPr>
      </w:pPr>
    </w:p>
    <w:p w14:paraId="40CA907B" w14:textId="0ED0974E" w:rsidR="004C4D9A" w:rsidRPr="00E87144" w:rsidRDefault="0059702F" w:rsidP="00F47607">
      <w:pPr>
        <w:pStyle w:val="ListParagraph"/>
        <w:numPr>
          <w:ilvl w:val="0"/>
          <w:numId w:val="16"/>
        </w:numPr>
        <w:spacing w:before="0" w:after="0" w:line="240" w:lineRule="auto"/>
        <w:rPr>
          <w:rFonts w:ascii="Garamond" w:hAnsi="Garamond" w:cs="Arial"/>
        </w:rPr>
      </w:pPr>
      <w:r>
        <w:rPr>
          <w:rFonts w:ascii="Garamond" w:hAnsi="Garamond" w:cs="Arial"/>
        </w:rPr>
        <w:t>a d</w:t>
      </w:r>
      <w:r w:rsidR="004C4D9A" w:rsidRPr="00E87144">
        <w:rPr>
          <w:rFonts w:ascii="Garamond" w:hAnsi="Garamond" w:cs="Arial"/>
        </w:rPr>
        <w:t>escription of the legal procedure for land applications and approvals for the concession sites;</w:t>
      </w:r>
    </w:p>
    <w:p w14:paraId="29E4FAF2" w14:textId="5F513CD3" w:rsidR="00346B44" w:rsidRPr="00E87144" w:rsidRDefault="0059702F" w:rsidP="00F47607">
      <w:pPr>
        <w:pStyle w:val="ListParagraph"/>
        <w:numPr>
          <w:ilvl w:val="0"/>
          <w:numId w:val="16"/>
        </w:numPr>
        <w:spacing w:before="0" w:after="0" w:line="240" w:lineRule="auto"/>
        <w:rPr>
          <w:rFonts w:ascii="Garamond" w:hAnsi="Garamond" w:cs="Arial"/>
        </w:rPr>
      </w:pPr>
      <w:r>
        <w:rPr>
          <w:rFonts w:ascii="Garamond" w:hAnsi="Garamond" w:cs="Arial"/>
        </w:rPr>
        <w:t>i</w:t>
      </w:r>
      <w:r w:rsidR="004C4D9A" w:rsidRPr="00E87144">
        <w:rPr>
          <w:rFonts w:ascii="Garamond" w:hAnsi="Garamond" w:cs="Arial"/>
        </w:rPr>
        <w:t xml:space="preserve">dentification of any rights or </w:t>
      </w:r>
      <w:r w:rsidR="00346B44" w:rsidRPr="00E87144">
        <w:rPr>
          <w:rFonts w:ascii="Garamond" w:hAnsi="Garamond" w:cs="Arial"/>
        </w:rPr>
        <w:t xml:space="preserve">licenses that have </w:t>
      </w:r>
      <w:r w:rsidR="004C4D9A" w:rsidRPr="00E87144">
        <w:rPr>
          <w:rFonts w:ascii="Garamond" w:hAnsi="Garamond" w:cs="Arial"/>
        </w:rPr>
        <w:t>been issued to the sites previously;</w:t>
      </w:r>
    </w:p>
    <w:p w14:paraId="507BE7CF" w14:textId="5568B0CF" w:rsidR="00346B44" w:rsidRPr="0059702F" w:rsidRDefault="0059702F" w:rsidP="00F47607">
      <w:pPr>
        <w:pStyle w:val="ListParagraph"/>
        <w:numPr>
          <w:ilvl w:val="0"/>
          <w:numId w:val="16"/>
        </w:numPr>
        <w:spacing w:before="0" w:after="0" w:line="240" w:lineRule="auto"/>
        <w:rPr>
          <w:rFonts w:ascii="Garamond" w:hAnsi="Garamond" w:cs="Arial"/>
        </w:rPr>
      </w:pPr>
      <w:r>
        <w:rPr>
          <w:rFonts w:ascii="Garamond" w:hAnsi="Garamond" w:cs="Arial"/>
        </w:rPr>
        <w:t>a</w:t>
      </w:r>
      <w:r w:rsidR="004C4D9A" w:rsidRPr="00E87144">
        <w:rPr>
          <w:rFonts w:ascii="Garamond" w:hAnsi="Garamond" w:cs="Arial"/>
        </w:rPr>
        <w:t xml:space="preserve">ny land rights in areas immediately adjacent to the concession area and </w:t>
      </w:r>
      <w:r>
        <w:rPr>
          <w:rFonts w:ascii="Garamond" w:hAnsi="Garamond" w:cs="Arial"/>
        </w:rPr>
        <w:t>the</w:t>
      </w:r>
      <w:r w:rsidR="004C4D9A" w:rsidRPr="00E87144">
        <w:rPr>
          <w:rFonts w:ascii="Garamond" w:hAnsi="Garamond" w:cs="Arial"/>
        </w:rPr>
        <w:t xml:space="preserve"> status of d</w:t>
      </w:r>
      <w:r>
        <w:rPr>
          <w:rFonts w:ascii="Garamond" w:hAnsi="Garamond" w:cs="Arial"/>
        </w:rPr>
        <w:t>evelopment plans in these areas, and e</w:t>
      </w:r>
      <w:r w:rsidR="004C4D9A" w:rsidRPr="0059702F">
        <w:rPr>
          <w:rFonts w:ascii="Garamond" w:hAnsi="Garamond" w:cs="Arial"/>
        </w:rPr>
        <w:t>valuation of</w:t>
      </w:r>
      <w:r w:rsidR="00346B44" w:rsidRPr="0059702F">
        <w:rPr>
          <w:rFonts w:ascii="Garamond" w:hAnsi="Garamond" w:cs="Arial"/>
        </w:rPr>
        <w:t xml:space="preserve"> current status of these </w:t>
      </w:r>
      <w:r w:rsidR="004C4D9A" w:rsidRPr="0059702F">
        <w:rPr>
          <w:rFonts w:ascii="Garamond" w:hAnsi="Garamond" w:cs="Arial"/>
        </w:rPr>
        <w:t xml:space="preserve">rights or licenses </w:t>
      </w:r>
      <w:r w:rsidR="00346B44" w:rsidRPr="0059702F">
        <w:rPr>
          <w:rFonts w:ascii="Garamond" w:hAnsi="Garamond" w:cs="Arial"/>
        </w:rPr>
        <w:t>and the</w:t>
      </w:r>
      <w:r w:rsidR="004C4D9A" w:rsidRPr="0059702F">
        <w:rPr>
          <w:rFonts w:ascii="Garamond" w:hAnsi="Garamond" w:cs="Arial"/>
        </w:rPr>
        <w:t>ir</w:t>
      </w:r>
      <w:r>
        <w:rPr>
          <w:rFonts w:ascii="Garamond" w:hAnsi="Garamond" w:cs="Arial"/>
        </w:rPr>
        <w:t xml:space="preserve"> legality;</w:t>
      </w:r>
    </w:p>
    <w:p w14:paraId="3C78DE7F" w14:textId="2044D2F0" w:rsidR="00346B44" w:rsidRPr="00E87144" w:rsidRDefault="004C4D9A" w:rsidP="00F47607">
      <w:pPr>
        <w:pStyle w:val="ListParagraph"/>
        <w:numPr>
          <w:ilvl w:val="0"/>
          <w:numId w:val="16"/>
        </w:numPr>
        <w:spacing w:before="0" w:after="0" w:line="240" w:lineRule="auto"/>
        <w:rPr>
          <w:rFonts w:ascii="Garamond" w:hAnsi="Garamond" w:cs="Arial"/>
        </w:rPr>
      </w:pPr>
      <w:r w:rsidRPr="00E87144">
        <w:rPr>
          <w:rFonts w:ascii="Garamond" w:hAnsi="Garamond" w:cs="Arial"/>
        </w:rPr>
        <w:t>Collection of</w:t>
      </w:r>
      <w:r w:rsidR="00346B44" w:rsidRPr="00E87144">
        <w:rPr>
          <w:rFonts w:ascii="Garamond" w:hAnsi="Garamond" w:cs="Arial"/>
        </w:rPr>
        <w:t xml:space="preserve"> all relevant documentation regarding such </w:t>
      </w:r>
      <w:r w:rsidRPr="00E87144">
        <w:rPr>
          <w:rFonts w:ascii="Garamond" w:hAnsi="Garamond" w:cs="Arial"/>
        </w:rPr>
        <w:t xml:space="preserve">rights or licenses </w:t>
      </w:r>
      <w:r w:rsidR="00346B44" w:rsidRPr="00E87144">
        <w:rPr>
          <w:rFonts w:ascii="Garamond" w:hAnsi="Garamond" w:cs="Arial"/>
        </w:rPr>
        <w:t>(including development proposals and reports</w:t>
      </w:r>
      <w:r w:rsidRPr="00E87144">
        <w:rPr>
          <w:rFonts w:ascii="Garamond" w:hAnsi="Garamond" w:cs="Arial"/>
        </w:rPr>
        <w:t>); and</w:t>
      </w:r>
    </w:p>
    <w:p w14:paraId="03FC7001" w14:textId="5A07BE5A" w:rsidR="00346B44" w:rsidRPr="00E87144" w:rsidRDefault="004C4D9A" w:rsidP="00F47607">
      <w:pPr>
        <w:pStyle w:val="ListParagraph"/>
        <w:numPr>
          <w:ilvl w:val="0"/>
          <w:numId w:val="16"/>
        </w:numPr>
        <w:spacing w:before="0" w:after="0" w:line="240" w:lineRule="auto"/>
        <w:rPr>
          <w:rFonts w:ascii="Garamond" w:hAnsi="Garamond" w:cs="Arial"/>
        </w:rPr>
      </w:pPr>
      <w:r w:rsidRPr="00E87144">
        <w:rPr>
          <w:rFonts w:ascii="Garamond" w:hAnsi="Garamond" w:cs="Arial"/>
        </w:rPr>
        <w:t xml:space="preserve">Compilation of a map illustrating the </w:t>
      </w:r>
      <w:r w:rsidR="00346B44" w:rsidRPr="00E87144">
        <w:rPr>
          <w:rFonts w:ascii="Garamond" w:hAnsi="Garamond" w:cs="Arial"/>
        </w:rPr>
        <w:t xml:space="preserve">areas of the </w:t>
      </w:r>
      <w:r w:rsidRPr="00E87144">
        <w:rPr>
          <w:rFonts w:ascii="Garamond" w:hAnsi="Garamond" w:cs="Arial"/>
        </w:rPr>
        <w:t>rights or licenses.</w:t>
      </w:r>
    </w:p>
    <w:p w14:paraId="402B8284" w14:textId="77777777" w:rsidR="00E87144" w:rsidRDefault="00E87144" w:rsidP="00E87144">
      <w:pPr>
        <w:spacing w:before="0" w:after="0" w:line="240" w:lineRule="auto"/>
        <w:rPr>
          <w:rFonts w:ascii="Garamond" w:hAnsi="Garamond"/>
        </w:rPr>
      </w:pPr>
    </w:p>
    <w:p w14:paraId="0CA4D0A5" w14:textId="0A9E6E9E" w:rsidR="00346B44" w:rsidRDefault="0059702F" w:rsidP="00E87144">
      <w:pPr>
        <w:spacing w:before="0" w:after="0" w:line="240" w:lineRule="auto"/>
        <w:rPr>
          <w:rFonts w:ascii="Garamond" w:hAnsi="Garamond"/>
        </w:rPr>
      </w:pPr>
      <w:r>
        <w:rPr>
          <w:rFonts w:ascii="Garamond" w:hAnsi="Garamond"/>
        </w:rPr>
        <w:t>Some l</w:t>
      </w:r>
      <w:r w:rsidR="004C4D9A">
        <w:rPr>
          <w:rFonts w:ascii="Garamond" w:hAnsi="Garamond"/>
        </w:rPr>
        <w:t xml:space="preserve">egal </w:t>
      </w:r>
      <w:r w:rsidR="00346B44">
        <w:rPr>
          <w:rFonts w:ascii="Garamond" w:hAnsi="Garamond"/>
        </w:rPr>
        <w:t xml:space="preserve">barriers may prevent a concessioning process from proceeding at </w:t>
      </w:r>
      <w:r w:rsidR="004C4D9A">
        <w:rPr>
          <w:rFonts w:ascii="Garamond" w:hAnsi="Garamond"/>
        </w:rPr>
        <w:t>proposed</w:t>
      </w:r>
      <w:r w:rsidR="00346B44">
        <w:rPr>
          <w:rFonts w:ascii="Garamond" w:hAnsi="Garamond"/>
        </w:rPr>
        <w:t xml:space="preserve"> sites. Even where there is political will to adapt the legal conditions, the pro</w:t>
      </w:r>
      <w:r w:rsidR="004C4D9A">
        <w:rPr>
          <w:rFonts w:ascii="Garamond" w:hAnsi="Garamond"/>
        </w:rPr>
        <w:t>cess may take considerable time to resolve. It</w:t>
      </w:r>
      <w:r w:rsidR="00346B44">
        <w:rPr>
          <w:rFonts w:ascii="Garamond" w:hAnsi="Garamond"/>
        </w:rPr>
        <w:t xml:space="preserve"> is important </w:t>
      </w:r>
      <w:r w:rsidR="004C4D9A">
        <w:rPr>
          <w:rFonts w:ascii="Garamond" w:hAnsi="Garamond"/>
        </w:rPr>
        <w:t xml:space="preserve">therefore </w:t>
      </w:r>
      <w:r w:rsidR="00346B44">
        <w:rPr>
          <w:rFonts w:ascii="Garamond" w:hAnsi="Garamond"/>
        </w:rPr>
        <w:t xml:space="preserve">to discuss whether </w:t>
      </w:r>
      <w:r w:rsidR="004C4D9A">
        <w:rPr>
          <w:rFonts w:ascii="Garamond" w:hAnsi="Garamond"/>
        </w:rPr>
        <w:t>any</w:t>
      </w:r>
      <w:r w:rsidR="00346B44">
        <w:rPr>
          <w:rFonts w:ascii="Garamond" w:hAnsi="Garamond"/>
        </w:rPr>
        <w:t xml:space="preserve"> legal barriers are ‘deal breakers’ for concessioning at those sites.</w:t>
      </w:r>
    </w:p>
    <w:p w14:paraId="603ADCC4" w14:textId="77777777" w:rsidR="00E87144" w:rsidRDefault="00E87144" w:rsidP="00E87144">
      <w:pPr>
        <w:spacing w:before="0" w:after="0" w:line="240" w:lineRule="auto"/>
      </w:pPr>
    </w:p>
    <w:p w14:paraId="7C87DA52" w14:textId="77777777" w:rsidR="00153EAD" w:rsidRDefault="00153EAD" w:rsidP="00153EAD">
      <w:pPr>
        <w:spacing w:before="0" w:after="0" w:line="240" w:lineRule="auto"/>
        <w:rPr>
          <w:rFonts w:ascii="Garamond" w:hAnsi="Garamond"/>
        </w:rPr>
      </w:pPr>
      <w:r>
        <w:rPr>
          <w:rFonts w:ascii="Garamond" w:hAnsi="Garamond"/>
          <w:noProof/>
        </w:rPr>
        <w:drawing>
          <wp:inline distT="0" distB="0" distL="0" distR="0" wp14:anchorId="02CF86C9" wp14:editId="15FF1927">
            <wp:extent cx="2254250" cy="660400"/>
            <wp:effectExtent l="50800" t="25400" r="0" b="762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B919ED9" w14:textId="77777777" w:rsidR="00153EAD" w:rsidRDefault="00153EAD" w:rsidP="00E87144">
      <w:pPr>
        <w:spacing w:before="0" w:after="0" w:line="240" w:lineRule="auto"/>
      </w:pPr>
    </w:p>
    <w:p w14:paraId="50B11072" w14:textId="5F230336" w:rsidR="002E65C5" w:rsidRDefault="002E65C5" w:rsidP="002E65C5">
      <w:pPr>
        <w:pStyle w:val="Heading3"/>
        <w:rPr>
          <w:rFonts w:ascii="Garamond" w:hAnsi="Garamond"/>
        </w:rPr>
      </w:pPr>
      <w:bookmarkStart w:id="24" w:name="_Ref268856277"/>
      <w:bookmarkStart w:id="25" w:name="_Ref269370109"/>
      <w:bookmarkStart w:id="26" w:name="_Toc269636331"/>
      <w:r>
        <w:rPr>
          <w:rFonts w:ascii="Garamond" w:hAnsi="Garamond"/>
        </w:rPr>
        <w:t>Spatial planning</w:t>
      </w:r>
      <w:bookmarkEnd w:id="24"/>
      <w:bookmarkEnd w:id="25"/>
      <w:bookmarkEnd w:id="26"/>
    </w:p>
    <w:p w14:paraId="4D342ABC" w14:textId="77777777" w:rsidR="00E87144" w:rsidRDefault="00E87144" w:rsidP="00E87144">
      <w:pPr>
        <w:spacing w:before="0" w:after="0" w:line="240" w:lineRule="auto"/>
        <w:rPr>
          <w:rFonts w:ascii="Garamond" w:hAnsi="Garamond"/>
        </w:rPr>
      </w:pPr>
    </w:p>
    <w:p w14:paraId="7D0D9B19" w14:textId="6A8C8550" w:rsidR="001810DD" w:rsidRDefault="00C875A3" w:rsidP="00E87144">
      <w:pPr>
        <w:spacing w:before="0" w:after="0" w:line="240" w:lineRule="auto"/>
        <w:rPr>
          <w:rFonts w:ascii="Garamond" w:hAnsi="Garamond"/>
        </w:rPr>
      </w:pPr>
      <w:r w:rsidRPr="00C875A3">
        <w:rPr>
          <w:rFonts w:ascii="Garamond" w:hAnsi="Garamond"/>
        </w:rPr>
        <w:t xml:space="preserve">Identify what spatial plans exist for the concession area, and what relevant information they include to guide a concessioning process. </w:t>
      </w:r>
      <w:r w:rsidR="001810DD" w:rsidRPr="00C875A3">
        <w:rPr>
          <w:rFonts w:ascii="Garamond" w:hAnsi="Garamond"/>
        </w:rPr>
        <w:t>Depending on the type of land (i.e. protected or not), the plans may include protected area management plans; TFCA Tourism Plans; or Integrated Development Pl</w:t>
      </w:r>
      <w:r w:rsidR="001810DD">
        <w:rPr>
          <w:rFonts w:ascii="Garamond" w:hAnsi="Garamond"/>
        </w:rPr>
        <w:t>ans, and these may be</w:t>
      </w:r>
      <w:r w:rsidR="001810DD" w:rsidRPr="00C875A3">
        <w:rPr>
          <w:rFonts w:ascii="Garamond" w:hAnsi="Garamond"/>
        </w:rPr>
        <w:t xml:space="preserve"> </w:t>
      </w:r>
      <w:r w:rsidR="001810DD">
        <w:rPr>
          <w:rFonts w:ascii="Garamond" w:hAnsi="Garamond"/>
        </w:rPr>
        <w:t xml:space="preserve">legally adopted plans. </w:t>
      </w:r>
      <w:r w:rsidR="001810DD" w:rsidRPr="00C875A3">
        <w:rPr>
          <w:rFonts w:ascii="Garamond" w:hAnsi="Garamond"/>
        </w:rPr>
        <w:t xml:space="preserve"> </w:t>
      </w:r>
    </w:p>
    <w:p w14:paraId="4BC1C268" w14:textId="77777777" w:rsidR="001810DD" w:rsidRDefault="001810DD" w:rsidP="00E87144">
      <w:pPr>
        <w:spacing w:before="0" w:after="0" w:line="240" w:lineRule="auto"/>
        <w:rPr>
          <w:rFonts w:ascii="Garamond" w:hAnsi="Garamond"/>
        </w:rPr>
      </w:pPr>
    </w:p>
    <w:p w14:paraId="746C8E4A" w14:textId="2BE33431" w:rsidR="001810DD" w:rsidRDefault="00CB2B28" w:rsidP="00E87144">
      <w:pPr>
        <w:spacing w:before="0" w:after="0" w:line="240" w:lineRule="auto"/>
        <w:rPr>
          <w:rFonts w:ascii="Garamond" w:hAnsi="Garamond"/>
          <w:color w:val="000000"/>
          <w:shd w:val="clear" w:color="auto" w:fill="FFFFFF"/>
        </w:rPr>
      </w:pPr>
      <w:r w:rsidRPr="00C875A3">
        <w:rPr>
          <w:rFonts w:ascii="Garamond" w:hAnsi="Garamond"/>
        </w:rPr>
        <w:t>Spatial plans should</w:t>
      </w:r>
      <w:r w:rsidR="00C875A3" w:rsidRPr="00C875A3">
        <w:rPr>
          <w:rFonts w:ascii="Garamond" w:hAnsi="Garamond"/>
        </w:rPr>
        <w:t xml:space="preserve"> ideally</w:t>
      </w:r>
      <w:r w:rsidRPr="00C875A3">
        <w:rPr>
          <w:rFonts w:ascii="Garamond" w:hAnsi="Garamond"/>
        </w:rPr>
        <w:t xml:space="preserve"> indicate which areas are zoned or allocated for tourism </w:t>
      </w:r>
      <w:r w:rsidR="001810DD">
        <w:rPr>
          <w:rFonts w:ascii="Garamond" w:hAnsi="Garamond"/>
        </w:rPr>
        <w:t xml:space="preserve">and </w:t>
      </w:r>
      <w:r w:rsidRPr="00C875A3">
        <w:rPr>
          <w:rFonts w:ascii="Garamond" w:hAnsi="Garamond"/>
        </w:rPr>
        <w:t xml:space="preserve">concessions. </w:t>
      </w:r>
      <w:r w:rsidR="004F5B97" w:rsidRPr="00C875A3">
        <w:rPr>
          <w:rFonts w:ascii="Garamond" w:hAnsi="Garamond"/>
        </w:rPr>
        <w:t xml:space="preserve">The plans should ideally </w:t>
      </w:r>
      <w:r w:rsidRPr="00C875A3">
        <w:rPr>
          <w:rFonts w:ascii="Garamond" w:hAnsi="Garamond"/>
          <w:color w:val="000000"/>
          <w:shd w:val="clear" w:color="auto" w:fill="FFFFFF"/>
        </w:rPr>
        <w:t xml:space="preserve">define the type, character and location of visitor facilities, activities and services, and also </w:t>
      </w:r>
      <w:r w:rsidR="001810DD">
        <w:rPr>
          <w:rFonts w:ascii="Garamond" w:hAnsi="Garamond"/>
          <w:color w:val="000000"/>
          <w:shd w:val="clear" w:color="auto" w:fill="FFFFFF"/>
        </w:rPr>
        <w:t>relevant</w:t>
      </w:r>
      <w:r w:rsidRPr="00C875A3">
        <w:rPr>
          <w:rFonts w:ascii="Garamond" w:hAnsi="Garamond"/>
          <w:color w:val="000000"/>
          <w:shd w:val="clear" w:color="auto" w:fill="FFFFFF"/>
        </w:rPr>
        <w:t xml:space="preserve"> stakeholders.  </w:t>
      </w:r>
      <w:r w:rsidR="00E67001">
        <w:rPr>
          <w:rFonts w:ascii="Garamond" w:hAnsi="Garamond"/>
          <w:color w:val="000000"/>
          <w:shd w:val="clear" w:color="auto" w:fill="FFFFFF"/>
        </w:rPr>
        <w:t xml:space="preserve"> </w:t>
      </w:r>
      <w:r w:rsidR="007D0350">
        <w:rPr>
          <w:rFonts w:ascii="Garamond" w:hAnsi="Garamond"/>
          <w:color w:val="000000"/>
          <w:shd w:val="clear" w:color="auto" w:fill="FFFFFF"/>
        </w:rPr>
        <w:t xml:space="preserve">Note that some tourism product options for TFCAs </w:t>
      </w:r>
      <w:r w:rsidR="005F74A5">
        <w:rPr>
          <w:rFonts w:ascii="Garamond" w:hAnsi="Garamond"/>
          <w:color w:val="000000"/>
          <w:shd w:val="clear" w:color="auto" w:fill="FFFFFF"/>
        </w:rPr>
        <w:t>may be located entirely within a protected area (</w:t>
      </w:r>
      <w:r w:rsidR="007D0350">
        <w:rPr>
          <w:rFonts w:ascii="Garamond" w:hAnsi="Garamond"/>
          <w:color w:val="000000"/>
          <w:shd w:val="clear" w:color="auto" w:fill="FFFFFF"/>
        </w:rPr>
        <w:t xml:space="preserve">e.g. accommodation), </w:t>
      </w:r>
      <w:r w:rsidR="00C00F2B">
        <w:rPr>
          <w:rFonts w:ascii="Garamond" w:hAnsi="Garamond"/>
          <w:color w:val="000000"/>
          <w:shd w:val="clear" w:color="auto" w:fill="FFFFFF"/>
        </w:rPr>
        <w:t>on communal or private land</w:t>
      </w:r>
      <w:r w:rsidR="005F74A5">
        <w:rPr>
          <w:rFonts w:ascii="Garamond" w:hAnsi="Garamond"/>
          <w:color w:val="000000"/>
          <w:shd w:val="clear" w:color="auto" w:fill="FFFFFF"/>
        </w:rPr>
        <w:t xml:space="preserve"> (e.g. community-based lodge), or may overlap different </w:t>
      </w:r>
      <w:r w:rsidR="007D0350">
        <w:rPr>
          <w:rFonts w:ascii="Garamond" w:hAnsi="Garamond"/>
          <w:color w:val="000000"/>
          <w:shd w:val="clear" w:color="auto" w:fill="FFFFFF"/>
        </w:rPr>
        <w:t xml:space="preserve">several </w:t>
      </w:r>
      <w:r w:rsidR="005F74A5">
        <w:rPr>
          <w:rFonts w:ascii="Garamond" w:hAnsi="Garamond"/>
          <w:color w:val="000000"/>
          <w:shd w:val="clear" w:color="auto" w:fill="FFFFFF"/>
        </w:rPr>
        <w:t xml:space="preserve">land-types (e.g. a transboundary 4x4 route). </w:t>
      </w:r>
      <w:r w:rsidR="005458F7">
        <w:rPr>
          <w:rFonts w:ascii="Garamond" w:hAnsi="Garamond"/>
          <w:color w:val="000000"/>
          <w:shd w:val="clear" w:color="auto" w:fill="FFFFFF"/>
        </w:rPr>
        <w:t xml:space="preserve"> </w:t>
      </w:r>
      <w:r w:rsidR="008C6F2F">
        <w:rPr>
          <w:rFonts w:ascii="Garamond" w:hAnsi="Garamond"/>
          <w:color w:val="000000"/>
          <w:shd w:val="clear" w:color="auto" w:fill="FFFFFF"/>
        </w:rPr>
        <w:t xml:space="preserve">  Use the existing plans in combination with site visits, to identify the site options for concessions, including their locations, size, attractions, and number. </w:t>
      </w:r>
    </w:p>
    <w:p w14:paraId="79E632CB" w14:textId="77777777" w:rsidR="008C04F6" w:rsidRPr="008C6F2F" w:rsidRDefault="008C04F6" w:rsidP="00E87144">
      <w:pPr>
        <w:spacing w:before="0" w:after="0" w:line="240" w:lineRule="auto"/>
        <w:rPr>
          <w:rFonts w:ascii="Garamond" w:hAnsi="Garamond"/>
          <w:color w:val="000000"/>
          <w:shd w:val="clear" w:color="auto" w:fill="FFFFFF"/>
        </w:rPr>
      </w:pPr>
    </w:p>
    <w:p w14:paraId="1AC0D265" w14:textId="75FC3BC0" w:rsidR="008C6F2F" w:rsidRDefault="00CB2B28" w:rsidP="00E87144">
      <w:pPr>
        <w:spacing w:before="0" w:after="0" w:line="240" w:lineRule="auto"/>
        <w:rPr>
          <w:rFonts w:ascii="Garamond" w:hAnsi="Garamond"/>
          <w:color w:val="000000"/>
          <w:shd w:val="clear" w:color="auto" w:fill="FFFFFF"/>
        </w:rPr>
      </w:pPr>
      <w:r>
        <w:rPr>
          <w:rFonts w:ascii="Garamond" w:hAnsi="Garamond"/>
          <w:color w:val="000000"/>
          <w:shd w:val="clear" w:color="auto" w:fill="FFFFFF"/>
        </w:rPr>
        <w:lastRenderedPageBreak/>
        <w:t>If no plan exists, the concession process may need to</w:t>
      </w:r>
      <w:r w:rsidR="00AD25A2">
        <w:rPr>
          <w:rFonts w:ascii="Garamond" w:hAnsi="Garamond"/>
          <w:color w:val="000000"/>
          <w:shd w:val="clear" w:color="auto" w:fill="FFFFFF"/>
        </w:rPr>
        <w:t xml:space="preserve"> be modified to</w:t>
      </w:r>
      <w:r>
        <w:rPr>
          <w:rFonts w:ascii="Garamond" w:hAnsi="Garamond"/>
          <w:color w:val="000000"/>
          <w:shd w:val="clear" w:color="auto" w:fill="FFFFFF"/>
        </w:rPr>
        <w:t xml:space="preserve"> include </w:t>
      </w:r>
      <w:r w:rsidR="004F5B97">
        <w:rPr>
          <w:rFonts w:ascii="Garamond" w:hAnsi="Garamond"/>
          <w:color w:val="000000"/>
          <w:shd w:val="clear" w:color="auto" w:fill="FFFFFF"/>
        </w:rPr>
        <w:t>the development of an appropriate plan. Without a plan, there is a risk that conservation, development and tourism be haphazard, potentially in response to political pressure, and without consideration for the future. As a result, opportunities may be lost, and there could be irreversible damaged done to the protected area resources</w:t>
      </w:r>
      <w:r w:rsidR="004F5B97">
        <w:rPr>
          <w:rStyle w:val="FootnoteReference"/>
          <w:rFonts w:ascii="Garamond" w:hAnsi="Garamond"/>
          <w:color w:val="000000"/>
          <w:shd w:val="clear" w:color="auto" w:fill="FFFFFF"/>
        </w:rPr>
        <w:footnoteReference w:id="15"/>
      </w:r>
      <w:r w:rsidR="004F5B97">
        <w:rPr>
          <w:rFonts w:ascii="Garamond" w:hAnsi="Garamond"/>
          <w:color w:val="000000"/>
          <w:shd w:val="clear" w:color="auto" w:fill="FFFFFF"/>
        </w:rPr>
        <w:t>.</w:t>
      </w:r>
    </w:p>
    <w:p w14:paraId="5DAC615F" w14:textId="77777777" w:rsidR="00C00F2B" w:rsidRDefault="00C00F2B" w:rsidP="00E87144">
      <w:pPr>
        <w:spacing w:before="0" w:after="0" w:line="240" w:lineRule="auto"/>
        <w:rPr>
          <w:rFonts w:ascii="Garamond" w:hAnsi="Garamond"/>
          <w:color w:val="000000"/>
          <w:shd w:val="clear" w:color="auto" w:fill="FFFFFF"/>
        </w:rPr>
      </w:pPr>
    </w:p>
    <w:p w14:paraId="392052C1" w14:textId="2879C226" w:rsidR="00C00F2B" w:rsidRPr="001810DD" w:rsidRDefault="00C00F2B" w:rsidP="00E87144">
      <w:pPr>
        <w:spacing w:before="0" w:after="0" w:line="240" w:lineRule="auto"/>
        <w:rPr>
          <w:rFonts w:ascii="Garamond" w:hAnsi="Garamond"/>
        </w:rPr>
      </w:pPr>
      <w:r>
        <w:rPr>
          <w:rFonts w:ascii="Garamond" w:hAnsi="Garamond"/>
          <w:noProof/>
        </w:rPr>
        <w:drawing>
          <wp:inline distT="0" distB="0" distL="0" distR="0" wp14:anchorId="0DB2216A" wp14:editId="5BEE3F6F">
            <wp:extent cx="2254250" cy="660400"/>
            <wp:effectExtent l="50800" t="25400" r="0" b="762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F377C54" w14:textId="77777777" w:rsidR="008C04F6" w:rsidRDefault="008C04F6" w:rsidP="00E87144">
      <w:pPr>
        <w:spacing w:before="0" w:after="0" w:line="240" w:lineRule="auto"/>
        <w:rPr>
          <w:rFonts w:ascii="Garamond" w:hAnsi="Garamond"/>
          <w:color w:val="000000"/>
          <w:shd w:val="clear" w:color="auto" w:fill="FFFFFF"/>
        </w:rPr>
      </w:pPr>
    </w:p>
    <w:p w14:paraId="45A08EA9" w14:textId="335DA32B" w:rsidR="002E65C5" w:rsidRDefault="00CA156D" w:rsidP="002E65C5">
      <w:pPr>
        <w:pStyle w:val="Heading3"/>
        <w:rPr>
          <w:rFonts w:ascii="Garamond" w:hAnsi="Garamond"/>
        </w:rPr>
      </w:pPr>
      <w:bookmarkStart w:id="27" w:name="_Ref268856070"/>
      <w:bookmarkStart w:id="28" w:name="_Toc269636332"/>
      <w:r>
        <w:rPr>
          <w:rFonts w:ascii="Garamond" w:hAnsi="Garamond"/>
        </w:rPr>
        <w:t>T</w:t>
      </w:r>
      <w:r w:rsidR="002E65C5">
        <w:rPr>
          <w:rFonts w:ascii="Garamond" w:hAnsi="Garamond"/>
        </w:rPr>
        <w:t>ourism product types</w:t>
      </w:r>
      <w:bookmarkEnd w:id="27"/>
      <w:bookmarkEnd w:id="28"/>
    </w:p>
    <w:p w14:paraId="5EA94941" w14:textId="77777777" w:rsidR="008C04F6" w:rsidRDefault="008C04F6" w:rsidP="00E87144">
      <w:pPr>
        <w:spacing w:before="0" w:after="0" w:line="240" w:lineRule="auto"/>
        <w:rPr>
          <w:rFonts w:ascii="Garamond" w:hAnsi="Garamond"/>
        </w:rPr>
      </w:pPr>
    </w:p>
    <w:p w14:paraId="2AFD5809" w14:textId="3E727B7C" w:rsidR="00CF6D07" w:rsidRDefault="00CF6D07" w:rsidP="00E87144">
      <w:pPr>
        <w:spacing w:before="0" w:after="0" w:line="240" w:lineRule="auto"/>
        <w:rPr>
          <w:rFonts w:ascii="Garamond" w:hAnsi="Garamond"/>
        </w:rPr>
      </w:pPr>
      <w:r>
        <w:rPr>
          <w:rFonts w:ascii="Garamond" w:hAnsi="Garamond"/>
        </w:rPr>
        <w:t xml:space="preserve">Types of tourism that take place in </w:t>
      </w:r>
      <w:r w:rsidR="00393297">
        <w:rPr>
          <w:rFonts w:ascii="Garamond" w:hAnsi="Garamond"/>
        </w:rPr>
        <w:t>TFCAs within the SADC region</w:t>
      </w:r>
      <w:r>
        <w:rPr>
          <w:rFonts w:ascii="Garamond" w:hAnsi="Garamond"/>
        </w:rPr>
        <w:t xml:space="preserve"> tend to incorporate the use or appreciat</w:t>
      </w:r>
      <w:r w:rsidR="00393297">
        <w:rPr>
          <w:rFonts w:ascii="Garamond" w:hAnsi="Garamond"/>
        </w:rPr>
        <w:t xml:space="preserve">ion of nature and/or culture (see </w:t>
      </w:r>
      <w:r w:rsidR="003857F9" w:rsidRPr="003857F9">
        <w:rPr>
          <w:rFonts w:ascii="Garamond" w:hAnsi="Garamond"/>
        </w:rPr>
        <w:fldChar w:fldCharType="begin"/>
      </w:r>
      <w:r w:rsidR="003857F9" w:rsidRPr="003857F9">
        <w:rPr>
          <w:rFonts w:ascii="Garamond" w:hAnsi="Garamond"/>
        </w:rPr>
        <w:instrText xml:space="preserve"> REF _Ref269368732 \h </w:instrText>
      </w:r>
      <w:r w:rsidR="003857F9" w:rsidRPr="003857F9">
        <w:rPr>
          <w:rFonts w:ascii="Garamond" w:hAnsi="Garamond"/>
        </w:rPr>
      </w:r>
      <w:r w:rsidR="003857F9" w:rsidRPr="003857F9">
        <w:rPr>
          <w:rFonts w:ascii="Garamond" w:hAnsi="Garamond"/>
        </w:rPr>
        <w:fldChar w:fldCharType="separate"/>
      </w:r>
      <w:r w:rsidR="003857F9" w:rsidRPr="003857F9">
        <w:rPr>
          <w:rFonts w:ascii="Garamond" w:hAnsi="Garamond"/>
        </w:rPr>
        <w:t xml:space="preserve">Table </w:t>
      </w:r>
      <w:r w:rsidR="003857F9" w:rsidRPr="003857F9">
        <w:rPr>
          <w:rFonts w:ascii="Garamond" w:hAnsi="Garamond"/>
          <w:noProof/>
        </w:rPr>
        <w:t>1</w:t>
      </w:r>
      <w:r w:rsidR="003857F9" w:rsidRPr="003857F9">
        <w:rPr>
          <w:rFonts w:ascii="Garamond" w:hAnsi="Garamond"/>
        </w:rPr>
        <w:fldChar w:fldCharType="end"/>
      </w:r>
      <w:r w:rsidR="003857F9">
        <w:rPr>
          <w:rFonts w:ascii="Garamond" w:hAnsi="Garamond"/>
        </w:rPr>
        <w:t xml:space="preserve"> </w:t>
      </w:r>
      <w:r w:rsidR="00393297">
        <w:rPr>
          <w:rFonts w:ascii="Garamond" w:hAnsi="Garamond"/>
        </w:rPr>
        <w:t>below).  Furthermore, they</w:t>
      </w:r>
      <w:r w:rsidR="00CA5F11">
        <w:rPr>
          <w:rFonts w:ascii="Garamond" w:hAnsi="Garamond"/>
        </w:rPr>
        <w:t xml:space="preserve"> need to be appropriate to the TFCA conditions so that </w:t>
      </w:r>
      <w:r w:rsidR="00393297">
        <w:rPr>
          <w:rFonts w:ascii="Garamond" w:hAnsi="Garamond"/>
        </w:rPr>
        <w:t xml:space="preserve">tourism that can take place in a sustainable manner, without undermining the natural or cultural resource. </w:t>
      </w:r>
    </w:p>
    <w:p w14:paraId="1F6C18EF" w14:textId="77777777" w:rsidR="008C04F6" w:rsidRDefault="008C04F6" w:rsidP="00E87144">
      <w:pPr>
        <w:spacing w:before="0" w:after="0" w:line="240" w:lineRule="auto"/>
        <w:rPr>
          <w:rFonts w:ascii="Garamond" w:hAnsi="Garamond"/>
        </w:rPr>
      </w:pPr>
    </w:p>
    <w:p w14:paraId="65FF2F3C" w14:textId="6EDC3EF3" w:rsidR="00393297" w:rsidRPr="00E7110D" w:rsidRDefault="00E7110D" w:rsidP="00E7110D">
      <w:pPr>
        <w:spacing w:before="0" w:after="0" w:line="240" w:lineRule="auto"/>
        <w:rPr>
          <w:rFonts w:ascii="Garamond" w:hAnsi="Garamond"/>
          <w:b/>
        </w:rPr>
      </w:pPr>
      <w:bookmarkStart w:id="29" w:name="_Ref269368732"/>
      <w:bookmarkStart w:id="30" w:name="_Ref269368726"/>
      <w:bookmarkStart w:id="31" w:name="_Toc269636031"/>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sidRPr="00E7110D">
        <w:rPr>
          <w:rFonts w:ascii="Garamond" w:hAnsi="Garamond"/>
          <w:b/>
          <w:noProof/>
        </w:rPr>
        <w:t>1</w:t>
      </w:r>
      <w:r w:rsidRPr="00E7110D">
        <w:rPr>
          <w:rFonts w:ascii="Garamond" w:hAnsi="Garamond"/>
          <w:b/>
          <w:noProof/>
        </w:rPr>
        <w:fldChar w:fldCharType="end"/>
      </w:r>
      <w:bookmarkEnd w:id="29"/>
      <w:r w:rsidR="00CA5F11">
        <w:rPr>
          <w:rFonts w:ascii="Garamond" w:hAnsi="Garamond"/>
          <w:b/>
        </w:rPr>
        <w:t>: Appropriate t</w:t>
      </w:r>
      <w:r w:rsidRPr="00E7110D">
        <w:rPr>
          <w:rFonts w:ascii="Garamond" w:hAnsi="Garamond"/>
          <w:b/>
        </w:rPr>
        <w:t>ourism activities and products in SADC TFCAs</w:t>
      </w:r>
      <w:bookmarkEnd w:id="30"/>
      <w:bookmarkEnd w:id="31"/>
    </w:p>
    <w:tbl>
      <w:tblPr>
        <w:tblStyle w:val="TableGrid"/>
        <w:tblW w:w="0" w:type="auto"/>
        <w:tblLook w:val="04A0" w:firstRow="1" w:lastRow="0" w:firstColumn="1" w:lastColumn="0" w:noHBand="0" w:noVBand="1"/>
      </w:tblPr>
      <w:tblGrid>
        <w:gridCol w:w="1022"/>
        <w:gridCol w:w="2040"/>
        <w:gridCol w:w="5818"/>
      </w:tblGrid>
      <w:tr w:rsidR="00393297" w:rsidRPr="00C76BA0" w14:paraId="7513E88F" w14:textId="77777777" w:rsidTr="00E7110D">
        <w:tc>
          <w:tcPr>
            <w:tcW w:w="3062" w:type="dxa"/>
            <w:gridSpan w:val="2"/>
          </w:tcPr>
          <w:p w14:paraId="0184429F" w14:textId="77777777" w:rsidR="00393297" w:rsidRPr="001D77AD" w:rsidRDefault="00393297" w:rsidP="00393297">
            <w:pPr>
              <w:spacing w:before="0" w:after="0" w:line="240" w:lineRule="auto"/>
              <w:jc w:val="left"/>
              <w:rPr>
                <w:rFonts w:ascii="Garamond" w:hAnsi="Garamond"/>
                <w:b/>
                <w:sz w:val="20"/>
                <w:szCs w:val="20"/>
              </w:rPr>
            </w:pPr>
            <w:r w:rsidRPr="001D77AD">
              <w:rPr>
                <w:rFonts w:ascii="Garamond" w:hAnsi="Garamond"/>
                <w:b/>
                <w:sz w:val="20"/>
                <w:szCs w:val="20"/>
              </w:rPr>
              <w:t>Tourism activities and products</w:t>
            </w:r>
          </w:p>
        </w:tc>
        <w:tc>
          <w:tcPr>
            <w:tcW w:w="5818" w:type="dxa"/>
          </w:tcPr>
          <w:p w14:paraId="49FC74A6" w14:textId="77777777" w:rsidR="00393297" w:rsidRPr="00CF6D07" w:rsidRDefault="00393297" w:rsidP="00393297">
            <w:pPr>
              <w:spacing w:before="0" w:after="0" w:line="240" w:lineRule="auto"/>
              <w:rPr>
                <w:rFonts w:ascii="Garamond" w:hAnsi="Garamond"/>
                <w:b/>
                <w:sz w:val="20"/>
                <w:szCs w:val="20"/>
              </w:rPr>
            </w:pPr>
            <w:r w:rsidRPr="00CF6D07">
              <w:rPr>
                <w:rFonts w:ascii="Garamond" w:hAnsi="Garamond"/>
                <w:b/>
                <w:sz w:val="20"/>
                <w:szCs w:val="20"/>
              </w:rPr>
              <w:t xml:space="preserve">Examples from </w:t>
            </w:r>
            <w:r>
              <w:rPr>
                <w:rFonts w:ascii="Garamond" w:hAnsi="Garamond"/>
                <w:b/>
                <w:sz w:val="20"/>
                <w:szCs w:val="20"/>
              </w:rPr>
              <w:t>TFCAs in SADC</w:t>
            </w:r>
          </w:p>
        </w:tc>
      </w:tr>
      <w:tr w:rsidR="00CF6D07" w14:paraId="21FC8778" w14:textId="77777777" w:rsidTr="00C361DF">
        <w:tc>
          <w:tcPr>
            <w:tcW w:w="1022" w:type="dxa"/>
            <w:vMerge w:val="restart"/>
          </w:tcPr>
          <w:p w14:paraId="22E9F5D0" w14:textId="77777777" w:rsidR="00CF6D07" w:rsidRPr="00CF6D07" w:rsidRDefault="00CF6D07" w:rsidP="00CF6D07">
            <w:pPr>
              <w:spacing w:before="0" w:after="0" w:line="240" w:lineRule="auto"/>
              <w:rPr>
                <w:rFonts w:ascii="Garamond" w:hAnsi="Garamond"/>
                <w:sz w:val="20"/>
                <w:szCs w:val="20"/>
              </w:rPr>
            </w:pPr>
          </w:p>
          <w:p w14:paraId="0487FE3D" w14:textId="77777777" w:rsidR="00CF6D07" w:rsidRPr="00CF6D07" w:rsidRDefault="00CF6D07" w:rsidP="00CF6D07">
            <w:pPr>
              <w:spacing w:before="0" w:after="0" w:line="240" w:lineRule="auto"/>
              <w:rPr>
                <w:rFonts w:ascii="Garamond" w:hAnsi="Garamond"/>
                <w:sz w:val="20"/>
                <w:szCs w:val="20"/>
              </w:rPr>
            </w:pPr>
          </w:p>
          <w:p w14:paraId="70311D2F" w14:textId="77777777" w:rsidR="00CF6D07" w:rsidRPr="00CF6D07" w:rsidRDefault="00CF6D07" w:rsidP="00CF6D07">
            <w:pPr>
              <w:spacing w:before="0" w:after="0" w:line="240" w:lineRule="auto"/>
              <w:rPr>
                <w:rFonts w:ascii="Garamond" w:hAnsi="Garamond"/>
                <w:sz w:val="20"/>
                <w:szCs w:val="20"/>
              </w:rPr>
            </w:pPr>
          </w:p>
          <w:p w14:paraId="273988AA" w14:textId="77777777" w:rsidR="00CF6D07" w:rsidRPr="00CF6D07" w:rsidRDefault="00CF6D07" w:rsidP="00CF6D07">
            <w:pPr>
              <w:spacing w:before="0" w:after="0" w:line="240" w:lineRule="auto"/>
              <w:rPr>
                <w:rFonts w:ascii="Garamond" w:hAnsi="Garamond"/>
                <w:sz w:val="20"/>
                <w:szCs w:val="20"/>
              </w:rPr>
            </w:pPr>
          </w:p>
          <w:p w14:paraId="653CAD82"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Activities</w:t>
            </w:r>
          </w:p>
        </w:tc>
        <w:tc>
          <w:tcPr>
            <w:tcW w:w="2040" w:type="dxa"/>
          </w:tcPr>
          <w:p w14:paraId="63D94691"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Wildlife viewing</w:t>
            </w:r>
          </w:p>
        </w:tc>
        <w:tc>
          <w:tcPr>
            <w:tcW w:w="5818" w:type="dxa"/>
          </w:tcPr>
          <w:p w14:paraId="2175098F" w14:textId="03976967" w:rsidR="00CF6D07" w:rsidRPr="00CF6D07" w:rsidRDefault="001D77AD" w:rsidP="001D77AD">
            <w:pPr>
              <w:spacing w:before="0" w:after="0" w:line="240" w:lineRule="auto"/>
              <w:rPr>
                <w:rFonts w:ascii="Garamond" w:hAnsi="Garamond"/>
                <w:sz w:val="20"/>
                <w:szCs w:val="20"/>
              </w:rPr>
            </w:pPr>
            <w:r>
              <w:rPr>
                <w:rFonts w:ascii="Garamond" w:hAnsi="Garamond"/>
                <w:sz w:val="20"/>
                <w:szCs w:val="20"/>
              </w:rPr>
              <w:t>Wildlife s</w:t>
            </w:r>
            <w:r w:rsidR="00CF6D07" w:rsidRPr="00CF6D07">
              <w:rPr>
                <w:rFonts w:ascii="Garamond" w:hAnsi="Garamond"/>
                <w:sz w:val="20"/>
                <w:szCs w:val="20"/>
              </w:rPr>
              <w:t>afaris, birdwatching, whale and dolphin watching</w:t>
            </w:r>
            <w:r>
              <w:rPr>
                <w:rFonts w:ascii="Garamond" w:hAnsi="Garamond"/>
                <w:sz w:val="20"/>
                <w:szCs w:val="20"/>
              </w:rPr>
              <w:t>. These may be vehicle based (e.g. 4x4;</w:t>
            </w:r>
            <w:r w:rsidR="00393297">
              <w:rPr>
                <w:rFonts w:ascii="Garamond" w:hAnsi="Garamond"/>
                <w:sz w:val="20"/>
                <w:szCs w:val="20"/>
              </w:rPr>
              <w:t xml:space="preserve"> overland truck;</w:t>
            </w:r>
            <w:r>
              <w:rPr>
                <w:rFonts w:ascii="Garamond" w:hAnsi="Garamond"/>
                <w:sz w:val="20"/>
                <w:szCs w:val="20"/>
              </w:rPr>
              <w:t xml:space="preserve"> boat), on foot, or other means (e.g. horse riding; elephant back-safaris, balloon or helicopter trips)</w:t>
            </w:r>
          </w:p>
        </w:tc>
      </w:tr>
      <w:tr w:rsidR="00EB5191" w14:paraId="13D28A28" w14:textId="77777777" w:rsidTr="00C361DF">
        <w:tc>
          <w:tcPr>
            <w:tcW w:w="1022" w:type="dxa"/>
            <w:vMerge/>
          </w:tcPr>
          <w:p w14:paraId="6FE5DC3C" w14:textId="77777777" w:rsidR="00EB5191" w:rsidRPr="00CF6D07" w:rsidRDefault="00EB5191" w:rsidP="00CF6D07">
            <w:pPr>
              <w:spacing w:before="0" w:after="0" w:line="240" w:lineRule="auto"/>
              <w:rPr>
                <w:rFonts w:ascii="Garamond" w:hAnsi="Garamond"/>
                <w:sz w:val="20"/>
                <w:szCs w:val="20"/>
              </w:rPr>
            </w:pPr>
          </w:p>
        </w:tc>
        <w:tc>
          <w:tcPr>
            <w:tcW w:w="2040" w:type="dxa"/>
          </w:tcPr>
          <w:p w14:paraId="603EDB3D" w14:textId="49834AC6"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Sports</w:t>
            </w:r>
          </w:p>
        </w:tc>
        <w:tc>
          <w:tcPr>
            <w:tcW w:w="5818" w:type="dxa"/>
          </w:tcPr>
          <w:p w14:paraId="666D8D4C" w14:textId="4CD86D50" w:rsidR="00EB5191" w:rsidRPr="00CF6D07" w:rsidRDefault="00EB5191" w:rsidP="001D77AD">
            <w:pPr>
              <w:spacing w:before="0" w:after="0" w:line="240" w:lineRule="auto"/>
              <w:rPr>
                <w:rFonts w:ascii="Garamond" w:hAnsi="Garamond"/>
                <w:sz w:val="20"/>
                <w:szCs w:val="20"/>
              </w:rPr>
            </w:pPr>
            <w:r>
              <w:rPr>
                <w:rFonts w:ascii="Garamond" w:hAnsi="Garamond"/>
                <w:sz w:val="20"/>
                <w:szCs w:val="20"/>
              </w:rPr>
              <w:t>Including m</w:t>
            </w:r>
            <w:r w:rsidRPr="00CF6D07">
              <w:rPr>
                <w:rFonts w:ascii="Garamond" w:hAnsi="Garamond"/>
                <w:sz w:val="20"/>
                <w:szCs w:val="20"/>
              </w:rPr>
              <w:t>ountain biking</w:t>
            </w:r>
            <w:r>
              <w:rPr>
                <w:rFonts w:ascii="Garamond" w:hAnsi="Garamond"/>
                <w:sz w:val="20"/>
                <w:szCs w:val="20"/>
              </w:rPr>
              <w:t xml:space="preserve"> (e.g. Tour de Tuli), hiking (e.g. Tour de Pafuri); running-races (e.g. Wildrun), and mixed-activity events (e.g. Desert Knights: canoeing and mountain biking)</w:t>
            </w:r>
          </w:p>
        </w:tc>
      </w:tr>
      <w:tr w:rsidR="00CF6D07" w14:paraId="1BEC89A2" w14:textId="77777777" w:rsidTr="00C361DF">
        <w:tc>
          <w:tcPr>
            <w:tcW w:w="1022" w:type="dxa"/>
            <w:vMerge/>
          </w:tcPr>
          <w:p w14:paraId="0F0AE971" w14:textId="77777777" w:rsidR="00CF6D07" w:rsidRPr="00CF6D07" w:rsidRDefault="00CF6D07" w:rsidP="00CF6D07">
            <w:pPr>
              <w:spacing w:before="0" w:after="0" w:line="240" w:lineRule="auto"/>
              <w:rPr>
                <w:rFonts w:ascii="Garamond" w:hAnsi="Garamond"/>
                <w:sz w:val="20"/>
                <w:szCs w:val="20"/>
              </w:rPr>
            </w:pPr>
          </w:p>
        </w:tc>
        <w:tc>
          <w:tcPr>
            <w:tcW w:w="2040" w:type="dxa"/>
          </w:tcPr>
          <w:p w14:paraId="30AA3D6A" w14:textId="11C42CF4" w:rsidR="00CF6D07"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Hunting</w:t>
            </w:r>
          </w:p>
        </w:tc>
        <w:tc>
          <w:tcPr>
            <w:tcW w:w="5818" w:type="dxa"/>
          </w:tcPr>
          <w:p w14:paraId="0E02C92D" w14:textId="3BF51C08" w:rsidR="00CF6D07"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Fishing and trophy hunting</w:t>
            </w:r>
          </w:p>
        </w:tc>
      </w:tr>
      <w:tr w:rsidR="00CF6D07" w14:paraId="1BC35F94" w14:textId="77777777" w:rsidTr="00C361DF">
        <w:tc>
          <w:tcPr>
            <w:tcW w:w="1022" w:type="dxa"/>
            <w:vMerge/>
          </w:tcPr>
          <w:p w14:paraId="5C68CDDD" w14:textId="77777777" w:rsidR="00CF6D07" w:rsidRPr="00CF6D07" w:rsidRDefault="00CF6D07" w:rsidP="00CF6D07">
            <w:pPr>
              <w:spacing w:before="0" w:after="0" w:line="240" w:lineRule="auto"/>
              <w:rPr>
                <w:rFonts w:ascii="Garamond" w:hAnsi="Garamond"/>
                <w:sz w:val="20"/>
                <w:szCs w:val="20"/>
              </w:rPr>
            </w:pPr>
          </w:p>
        </w:tc>
        <w:tc>
          <w:tcPr>
            <w:tcW w:w="2040" w:type="dxa"/>
          </w:tcPr>
          <w:p w14:paraId="3BAE7219"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Adventure</w:t>
            </w:r>
          </w:p>
        </w:tc>
        <w:tc>
          <w:tcPr>
            <w:tcW w:w="5818" w:type="dxa"/>
          </w:tcPr>
          <w:p w14:paraId="2E5C089E" w14:textId="19945A51" w:rsidR="00CF6D07" w:rsidRPr="00CF6D07" w:rsidRDefault="00CF6D07" w:rsidP="00673522">
            <w:pPr>
              <w:spacing w:before="0" w:after="0" w:line="240" w:lineRule="auto"/>
              <w:rPr>
                <w:rFonts w:ascii="Garamond" w:hAnsi="Garamond"/>
                <w:sz w:val="20"/>
                <w:szCs w:val="20"/>
              </w:rPr>
            </w:pPr>
            <w:r w:rsidRPr="00CF6D07">
              <w:rPr>
                <w:rFonts w:ascii="Garamond" w:hAnsi="Garamond"/>
                <w:sz w:val="20"/>
                <w:szCs w:val="20"/>
              </w:rPr>
              <w:t>Including bungee jumping, mountain climbing, canopy swings, and 4x4 drives</w:t>
            </w:r>
            <w:r w:rsidR="002871A7">
              <w:rPr>
                <w:rFonts w:ascii="Garamond" w:hAnsi="Garamond"/>
                <w:sz w:val="20"/>
                <w:szCs w:val="20"/>
              </w:rPr>
              <w:t>, hot-air ballooning, aerial walkways</w:t>
            </w:r>
            <w:r w:rsidR="00673522">
              <w:rPr>
                <w:rFonts w:ascii="Garamond" w:hAnsi="Garamond"/>
                <w:sz w:val="20"/>
                <w:szCs w:val="20"/>
              </w:rPr>
              <w:t>, boat trips, scuba diving</w:t>
            </w:r>
          </w:p>
        </w:tc>
      </w:tr>
      <w:tr w:rsidR="00EB5191" w14:paraId="4173D661" w14:textId="77777777" w:rsidTr="00C361DF">
        <w:tc>
          <w:tcPr>
            <w:tcW w:w="1022" w:type="dxa"/>
            <w:vMerge/>
          </w:tcPr>
          <w:p w14:paraId="313683DD" w14:textId="77777777" w:rsidR="00EB5191" w:rsidRPr="00CF6D07" w:rsidRDefault="00EB5191" w:rsidP="00CF6D07">
            <w:pPr>
              <w:spacing w:before="0" w:after="0" w:line="240" w:lineRule="auto"/>
              <w:rPr>
                <w:rFonts w:ascii="Garamond" w:hAnsi="Garamond"/>
                <w:sz w:val="20"/>
                <w:szCs w:val="20"/>
              </w:rPr>
            </w:pPr>
          </w:p>
        </w:tc>
        <w:tc>
          <w:tcPr>
            <w:tcW w:w="2040" w:type="dxa"/>
          </w:tcPr>
          <w:p w14:paraId="136D799F" w14:textId="054B2E11"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 xml:space="preserve">Education </w:t>
            </w:r>
          </w:p>
        </w:tc>
        <w:tc>
          <w:tcPr>
            <w:tcW w:w="5818" w:type="dxa"/>
          </w:tcPr>
          <w:p w14:paraId="69DF9569" w14:textId="30330098"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Learning about particular species, environments, cultures and current issues</w:t>
            </w:r>
          </w:p>
        </w:tc>
      </w:tr>
      <w:tr w:rsidR="00CF6D07" w14:paraId="752C960A" w14:textId="77777777" w:rsidTr="00C361DF">
        <w:tc>
          <w:tcPr>
            <w:tcW w:w="1022" w:type="dxa"/>
            <w:vMerge/>
          </w:tcPr>
          <w:p w14:paraId="13F41D09" w14:textId="77777777" w:rsidR="00CF6D07" w:rsidRPr="00CF6D07" w:rsidRDefault="00CF6D07" w:rsidP="00CF6D07">
            <w:pPr>
              <w:spacing w:before="0" w:after="0" w:line="240" w:lineRule="auto"/>
              <w:rPr>
                <w:rFonts w:ascii="Garamond" w:hAnsi="Garamond"/>
                <w:sz w:val="20"/>
                <w:szCs w:val="20"/>
              </w:rPr>
            </w:pPr>
          </w:p>
        </w:tc>
        <w:tc>
          <w:tcPr>
            <w:tcW w:w="2040" w:type="dxa"/>
          </w:tcPr>
          <w:p w14:paraId="170A94E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Volunteer work</w:t>
            </w:r>
          </w:p>
        </w:tc>
        <w:tc>
          <w:tcPr>
            <w:tcW w:w="5818" w:type="dxa"/>
          </w:tcPr>
          <w:p w14:paraId="0BFFF37C" w14:textId="762A05E3" w:rsidR="00CF6D07" w:rsidRPr="00CF6D07" w:rsidRDefault="00CF6D07" w:rsidP="001D77AD">
            <w:pPr>
              <w:spacing w:before="0" w:after="0" w:line="240" w:lineRule="auto"/>
              <w:rPr>
                <w:rFonts w:ascii="Garamond" w:hAnsi="Garamond"/>
                <w:sz w:val="20"/>
                <w:szCs w:val="20"/>
              </w:rPr>
            </w:pPr>
            <w:r w:rsidRPr="00CF6D07">
              <w:rPr>
                <w:rFonts w:ascii="Garamond" w:hAnsi="Garamond"/>
                <w:sz w:val="20"/>
                <w:szCs w:val="20"/>
              </w:rPr>
              <w:t>Support to ongoing research projects</w:t>
            </w:r>
            <w:r w:rsidR="001D77AD">
              <w:rPr>
                <w:rFonts w:ascii="Garamond" w:hAnsi="Garamond"/>
                <w:sz w:val="20"/>
                <w:szCs w:val="20"/>
              </w:rPr>
              <w:t xml:space="preserve"> on conservation, or social development projects. </w:t>
            </w:r>
          </w:p>
        </w:tc>
      </w:tr>
      <w:tr w:rsidR="00CF6D07" w14:paraId="3A9C549D" w14:textId="77777777" w:rsidTr="00C361DF">
        <w:tc>
          <w:tcPr>
            <w:tcW w:w="1022" w:type="dxa"/>
            <w:vMerge w:val="restart"/>
          </w:tcPr>
          <w:p w14:paraId="4A84EE1A" w14:textId="77777777" w:rsidR="00CF6D07" w:rsidRPr="00CF6D07" w:rsidRDefault="00CF6D07" w:rsidP="00CF6D07">
            <w:pPr>
              <w:spacing w:before="0" w:after="0" w:line="240" w:lineRule="auto"/>
              <w:rPr>
                <w:rFonts w:ascii="Garamond" w:hAnsi="Garamond"/>
                <w:sz w:val="20"/>
                <w:szCs w:val="20"/>
              </w:rPr>
            </w:pPr>
          </w:p>
          <w:p w14:paraId="68AF27A5" w14:textId="77777777" w:rsidR="00CF6D07" w:rsidRPr="00CF6D07" w:rsidRDefault="00CF6D07" w:rsidP="00CF6D07">
            <w:pPr>
              <w:spacing w:before="0" w:after="0" w:line="240" w:lineRule="auto"/>
              <w:rPr>
                <w:rFonts w:ascii="Garamond" w:hAnsi="Garamond"/>
                <w:sz w:val="20"/>
                <w:szCs w:val="20"/>
              </w:rPr>
            </w:pPr>
          </w:p>
          <w:p w14:paraId="2290DABB" w14:textId="77777777" w:rsidR="00CF6D07" w:rsidRPr="00CF6D07" w:rsidRDefault="00CF6D07" w:rsidP="00CF6D07">
            <w:pPr>
              <w:spacing w:before="0" w:after="0" w:line="240" w:lineRule="auto"/>
              <w:rPr>
                <w:rFonts w:ascii="Garamond" w:hAnsi="Garamond"/>
                <w:sz w:val="20"/>
                <w:szCs w:val="20"/>
              </w:rPr>
            </w:pPr>
          </w:p>
          <w:p w14:paraId="2A240017"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Tourism products</w:t>
            </w:r>
            <w:r w:rsidRPr="00CF6D07">
              <w:rPr>
                <w:rStyle w:val="FootnoteReference"/>
                <w:rFonts w:ascii="Garamond" w:hAnsi="Garamond"/>
                <w:sz w:val="20"/>
                <w:szCs w:val="20"/>
              </w:rPr>
              <w:footnoteReference w:id="16"/>
            </w:r>
          </w:p>
        </w:tc>
        <w:tc>
          <w:tcPr>
            <w:tcW w:w="2040" w:type="dxa"/>
          </w:tcPr>
          <w:p w14:paraId="4224491F"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Accommodation</w:t>
            </w:r>
          </w:p>
        </w:tc>
        <w:tc>
          <w:tcPr>
            <w:tcW w:w="5818" w:type="dxa"/>
          </w:tcPr>
          <w:p w14:paraId="05161124" w14:textId="6DFE3358" w:rsidR="00CF6D07" w:rsidRPr="00CF6D07" w:rsidRDefault="00307A8C" w:rsidP="00307A8C">
            <w:pPr>
              <w:spacing w:before="0" w:after="0" w:line="240" w:lineRule="auto"/>
              <w:rPr>
                <w:rFonts w:ascii="Garamond" w:hAnsi="Garamond"/>
                <w:sz w:val="20"/>
                <w:szCs w:val="20"/>
              </w:rPr>
            </w:pPr>
            <w:r>
              <w:rPr>
                <w:rFonts w:ascii="Garamond" w:hAnsi="Garamond"/>
                <w:sz w:val="20"/>
                <w:szCs w:val="20"/>
              </w:rPr>
              <w:t>L</w:t>
            </w:r>
            <w:r w:rsidR="00CF6D07" w:rsidRPr="00CF6D07">
              <w:rPr>
                <w:rFonts w:ascii="Garamond" w:hAnsi="Garamond"/>
                <w:sz w:val="20"/>
                <w:szCs w:val="20"/>
              </w:rPr>
              <w:t xml:space="preserve">odges, </w:t>
            </w:r>
            <w:r>
              <w:rPr>
                <w:rFonts w:ascii="Garamond" w:hAnsi="Garamond"/>
                <w:sz w:val="20"/>
                <w:szCs w:val="20"/>
              </w:rPr>
              <w:t xml:space="preserve">hotels, guest houses, </w:t>
            </w:r>
            <w:r w:rsidR="00CF6D07" w:rsidRPr="00CF6D07">
              <w:rPr>
                <w:rFonts w:ascii="Garamond" w:hAnsi="Garamond"/>
                <w:sz w:val="20"/>
                <w:szCs w:val="20"/>
              </w:rPr>
              <w:t xml:space="preserve">permanent and mobile camping </w:t>
            </w:r>
            <w:r>
              <w:rPr>
                <w:rFonts w:ascii="Garamond" w:hAnsi="Garamond"/>
                <w:sz w:val="20"/>
                <w:szCs w:val="20"/>
              </w:rPr>
              <w:t>facilities,</w:t>
            </w:r>
            <w:r w:rsidR="00CF6D07" w:rsidRPr="00CF6D07">
              <w:rPr>
                <w:rFonts w:ascii="Garamond" w:hAnsi="Garamond"/>
                <w:sz w:val="20"/>
                <w:szCs w:val="20"/>
              </w:rPr>
              <w:t xml:space="preserve"> houseboats</w:t>
            </w:r>
            <w:r w:rsidR="002871A7">
              <w:rPr>
                <w:rFonts w:ascii="Garamond" w:hAnsi="Garamond"/>
                <w:sz w:val="20"/>
                <w:szCs w:val="20"/>
              </w:rPr>
              <w:t>, conference facilities</w:t>
            </w:r>
          </w:p>
        </w:tc>
      </w:tr>
      <w:tr w:rsidR="002871A7" w14:paraId="62D6A675" w14:textId="77777777" w:rsidTr="00C361DF">
        <w:tc>
          <w:tcPr>
            <w:tcW w:w="1022" w:type="dxa"/>
            <w:vMerge/>
          </w:tcPr>
          <w:p w14:paraId="697755E1" w14:textId="77777777" w:rsidR="002871A7" w:rsidRPr="00CF6D07" w:rsidRDefault="002871A7" w:rsidP="00CF6D07">
            <w:pPr>
              <w:spacing w:before="0" w:after="0" w:line="240" w:lineRule="auto"/>
              <w:rPr>
                <w:rFonts w:ascii="Garamond" w:hAnsi="Garamond"/>
                <w:sz w:val="20"/>
                <w:szCs w:val="20"/>
              </w:rPr>
            </w:pPr>
          </w:p>
        </w:tc>
        <w:tc>
          <w:tcPr>
            <w:tcW w:w="2040" w:type="dxa"/>
          </w:tcPr>
          <w:p w14:paraId="22267DF8" w14:textId="5FBCB74F" w:rsidR="002871A7" w:rsidRPr="00CF6D07" w:rsidRDefault="002871A7" w:rsidP="00CF6D07">
            <w:pPr>
              <w:spacing w:before="0" w:after="0" w:line="240" w:lineRule="auto"/>
              <w:rPr>
                <w:rFonts w:ascii="Garamond" w:hAnsi="Garamond"/>
                <w:sz w:val="20"/>
                <w:szCs w:val="20"/>
              </w:rPr>
            </w:pPr>
            <w:r>
              <w:rPr>
                <w:rFonts w:ascii="Garamond" w:hAnsi="Garamond"/>
                <w:sz w:val="20"/>
                <w:szCs w:val="20"/>
              </w:rPr>
              <w:t>Heritage and culture</w:t>
            </w:r>
          </w:p>
        </w:tc>
        <w:tc>
          <w:tcPr>
            <w:tcW w:w="5818" w:type="dxa"/>
          </w:tcPr>
          <w:p w14:paraId="39BB55C8" w14:textId="65D1459C" w:rsidR="002871A7" w:rsidRPr="00CF6D07" w:rsidRDefault="002871A7" w:rsidP="00CF6D07">
            <w:pPr>
              <w:spacing w:before="0" w:after="0" w:line="240" w:lineRule="auto"/>
              <w:rPr>
                <w:rFonts w:ascii="Garamond" w:hAnsi="Garamond"/>
                <w:sz w:val="20"/>
                <w:szCs w:val="20"/>
              </w:rPr>
            </w:pPr>
            <w:r>
              <w:rPr>
                <w:rFonts w:ascii="Garamond" w:hAnsi="Garamond"/>
                <w:sz w:val="20"/>
                <w:szCs w:val="20"/>
              </w:rPr>
              <w:t>Museums, interpretation and exhibition centres.</w:t>
            </w:r>
          </w:p>
        </w:tc>
      </w:tr>
      <w:tr w:rsidR="00CF6D07" w14:paraId="56EE52DF" w14:textId="77777777" w:rsidTr="00C361DF">
        <w:tc>
          <w:tcPr>
            <w:tcW w:w="1022" w:type="dxa"/>
            <w:vMerge/>
          </w:tcPr>
          <w:p w14:paraId="1A66F044" w14:textId="77777777" w:rsidR="00CF6D07" w:rsidRPr="00CF6D07" w:rsidRDefault="00CF6D07" w:rsidP="00CF6D07">
            <w:pPr>
              <w:spacing w:before="0" w:after="0" w:line="240" w:lineRule="auto"/>
              <w:rPr>
                <w:rFonts w:ascii="Garamond" w:hAnsi="Garamond"/>
                <w:sz w:val="20"/>
                <w:szCs w:val="20"/>
              </w:rPr>
            </w:pPr>
          </w:p>
        </w:tc>
        <w:tc>
          <w:tcPr>
            <w:tcW w:w="2040" w:type="dxa"/>
          </w:tcPr>
          <w:p w14:paraId="7A1C2363"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Tour operations</w:t>
            </w:r>
          </w:p>
        </w:tc>
        <w:tc>
          <w:tcPr>
            <w:tcW w:w="5818" w:type="dxa"/>
          </w:tcPr>
          <w:p w14:paraId="24868022"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Including transportation and guiding</w:t>
            </w:r>
          </w:p>
        </w:tc>
      </w:tr>
      <w:tr w:rsidR="00CF6D07" w14:paraId="2CF19777" w14:textId="77777777" w:rsidTr="00C361DF">
        <w:tc>
          <w:tcPr>
            <w:tcW w:w="1022" w:type="dxa"/>
            <w:vMerge/>
          </w:tcPr>
          <w:p w14:paraId="0FEE0989" w14:textId="77777777" w:rsidR="00CF6D07" w:rsidRPr="00CF6D07" w:rsidRDefault="00CF6D07" w:rsidP="00CF6D07">
            <w:pPr>
              <w:spacing w:before="0" w:after="0" w:line="240" w:lineRule="auto"/>
              <w:rPr>
                <w:rFonts w:ascii="Garamond" w:hAnsi="Garamond"/>
                <w:sz w:val="20"/>
                <w:szCs w:val="20"/>
              </w:rPr>
            </w:pPr>
          </w:p>
        </w:tc>
        <w:tc>
          <w:tcPr>
            <w:tcW w:w="2040" w:type="dxa"/>
          </w:tcPr>
          <w:p w14:paraId="39F07C0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Natural resource use</w:t>
            </w:r>
          </w:p>
        </w:tc>
        <w:tc>
          <w:tcPr>
            <w:tcW w:w="5818" w:type="dxa"/>
          </w:tcPr>
          <w:p w14:paraId="59D3C9CD" w14:textId="41888165" w:rsidR="00CF6D07" w:rsidRPr="00CF6D07" w:rsidRDefault="00307A8C" w:rsidP="00307A8C">
            <w:pPr>
              <w:spacing w:before="0" w:after="0" w:line="240" w:lineRule="auto"/>
              <w:rPr>
                <w:rFonts w:ascii="Garamond" w:hAnsi="Garamond"/>
                <w:sz w:val="20"/>
                <w:szCs w:val="20"/>
              </w:rPr>
            </w:pPr>
            <w:r>
              <w:rPr>
                <w:rFonts w:ascii="Garamond" w:hAnsi="Garamond"/>
                <w:sz w:val="20"/>
                <w:szCs w:val="20"/>
              </w:rPr>
              <w:t>Hunting and fishing</w:t>
            </w:r>
          </w:p>
        </w:tc>
      </w:tr>
      <w:tr w:rsidR="00CF6D07" w14:paraId="24B3B5C0" w14:textId="77777777" w:rsidTr="00C361DF">
        <w:tc>
          <w:tcPr>
            <w:tcW w:w="1022" w:type="dxa"/>
            <w:vMerge/>
          </w:tcPr>
          <w:p w14:paraId="4B4C697A" w14:textId="77777777" w:rsidR="00CF6D07" w:rsidRPr="00CF6D07" w:rsidRDefault="00CF6D07" w:rsidP="00CF6D07">
            <w:pPr>
              <w:spacing w:before="0" w:after="0" w:line="240" w:lineRule="auto"/>
              <w:rPr>
                <w:rFonts w:ascii="Garamond" w:hAnsi="Garamond"/>
                <w:sz w:val="20"/>
                <w:szCs w:val="20"/>
              </w:rPr>
            </w:pPr>
          </w:p>
        </w:tc>
        <w:tc>
          <w:tcPr>
            <w:tcW w:w="2040" w:type="dxa"/>
          </w:tcPr>
          <w:p w14:paraId="4D773E78"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Catering facilities</w:t>
            </w:r>
          </w:p>
        </w:tc>
        <w:tc>
          <w:tcPr>
            <w:tcW w:w="5818" w:type="dxa"/>
          </w:tcPr>
          <w:p w14:paraId="72A45091" w14:textId="43CA12B1"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Restaurants, cafes, mobile catering facilities</w:t>
            </w:r>
            <w:r w:rsidR="00307A8C">
              <w:rPr>
                <w:rFonts w:ascii="Garamond" w:hAnsi="Garamond"/>
                <w:sz w:val="20"/>
                <w:szCs w:val="20"/>
              </w:rPr>
              <w:t>, picnic areas</w:t>
            </w:r>
          </w:p>
        </w:tc>
      </w:tr>
      <w:tr w:rsidR="00CF6D07" w14:paraId="087C898A" w14:textId="77777777" w:rsidTr="00C361DF">
        <w:tc>
          <w:tcPr>
            <w:tcW w:w="1022" w:type="dxa"/>
            <w:vMerge/>
          </w:tcPr>
          <w:p w14:paraId="1D504FF5" w14:textId="77777777" w:rsidR="00CF6D07" w:rsidRPr="00CF6D07" w:rsidRDefault="00CF6D07" w:rsidP="00CF6D07">
            <w:pPr>
              <w:spacing w:before="0" w:after="0" w:line="240" w:lineRule="auto"/>
              <w:rPr>
                <w:rFonts w:ascii="Garamond" w:hAnsi="Garamond"/>
                <w:sz w:val="20"/>
                <w:szCs w:val="20"/>
              </w:rPr>
            </w:pPr>
          </w:p>
        </w:tc>
        <w:tc>
          <w:tcPr>
            <w:tcW w:w="2040" w:type="dxa"/>
          </w:tcPr>
          <w:p w14:paraId="2D182F3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Retail facilities</w:t>
            </w:r>
          </w:p>
        </w:tc>
        <w:tc>
          <w:tcPr>
            <w:tcW w:w="5818" w:type="dxa"/>
          </w:tcPr>
          <w:p w14:paraId="13D90AB5" w14:textId="2CD8DE0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 xml:space="preserve">Gift shops, </w:t>
            </w:r>
            <w:r w:rsidR="00307A8C">
              <w:rPr>
                <w:rFonts w:ascii="Garamond" w:hAnsi="Garamond"/>
                <w:sz w:val="20"/>
                <w:szCs w:val="20"/>
              </w:rPr>
              <w:t xml:space="preserve">sale of </w:t>
            </w:r>
            <w:r w:rsidRPr="00CF6D07">
              <w:rPr>
                <w:rFonts w:ascii="Garamond" w:hAnsi="Garamond"/>
                <w:sz w:val="20"/>
                <w:szCs w:val="20"/>
              </w:rPr>
              <w:t>self-catering supplies</w:t>
            </w:r>
          </w:p>
        </w:tc>
      </w:tr>
      <w:tr w:rsidR="00CF6D07" w14:paraId="723EBDDC" w14:textId="77777777" w:rsidTr="00C361DF">
        <w:tc>
          <w:tcPr>
            <w:tcW w:w="1022" w:type="dxa"/>
            <w:vMerge/>
          </w:tcPr>
          <w:p w14:paraId="2CB5270F" w14:textId="77777777" w:rsidR="00CF6D07" w:rsidRPr="00CF6D07" w:rsidRDefault="00CF6D07" w:rsidP="00CF6D07">
            <w:pPr>
              <w:spacing w:before="0" w:after="0" w:line="240" w:lineRule="auto"/>
              <w:rPr>
                <w:rFonts w:ascii="Garamond" w:hAnsi="Garamond"/>
                <w:sz w:val="20"/>
                <w:szCs w:val="20"/>
              </w:rPr>
            </w:pPr>
          </w:p>
        </w:tc>
        <w:tc>
          <w:tcPr>
            <w:tcW w:w="2040" w:type="dxa"/>
          </w:tcPr>
          <w:p w14:paraId="3CA83F91"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Information provision</w:t>
            </w:r>
          </w:p>
        </w:tc>
        <w:tc>
          <w:tcPr>
            <w:tcW w:w="5818" w:type="dxa"/>
          </w:tcPr>
          <w:p w14:paraId="1D9B84B4"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Interpretation and guiding</w:t>
            </w:r>
          </w:p>
        </w:tc>
      </w:tr>
    </w:tbl>
    <w:p w14:paraId="3C017583" w14:textId="77777777" w:rsidR="00EB5191" w:rsidRDefault="00EB5191" w:rsidP="003841E9">
      <w:pPr>
        <w:spacing w:before="0" w:after="0" w:line="240" w:lineRule="auto"/>
        <w:jc w:val="left"/>
        <w:rPr>
          <w:rFonts w:ascii="Garamond" w:hAnsi="Garamond"/>
        </w:rPr>
      </w:pPr>
    </w:p>
    <w:p w14:paraId="681A49E2" w14:textId="733107B1" w:rsidR="007F2843" w:rsidRDefault="00673522" w:rsidP="00D27357">
      <w:pPr>
        <w:spacing w:before="0" w:after="0" w:line="240" w:lineRule="auto"/>
        <w:jc w:val="left"/>
        <w:rPr>
          <w:rFonts w:ascii="Garamond" w:hAnsi="Garamond"/>
        </w:rPr>
      </w:pPr>
      <w:r>
        <w:rPr>
          <w:rFonts w:ascii="Garamond" w:hAnsi="Garamond"/>
        </w:rPr>
        <w:t>When</w:t>
      </w:r>
      <w:r w:rsidR="007F2843">
        <w:rPr>
          <w:rFonts w:ascii="Garamond" w:hAnsi="Garamond"/>
        </w:rPr>
        <w:t xml:space="preserve"> deciding what tourism activities and products</w:t>
      </w:r>
      <w:r>
        <w:rPr>
          <w:rFonts w:ascii="Garamond" w:hAnsi="Garamond"/>
        </w:rPr>
        <w:t xml:space="preserve"> should be</w:t>
      </w:r>
      <w:r w:rsidR="007F2843">
        <w:rPr>
          <w:rFonts w:ascii="Garamond" w:hAnsi="Garamond"/>
        </w:rPr>
        <w:t xml:space="preserve"> promote</w:t>
      </w:r>
      <w:r>
        <w:rPr>
          <w:rFonts w:ascii="Garamond" w:hAnsi="Garamond"/>
        </w:rPr>
        <w:t>d</w:t>
      </w:r>
      <w:r w:rsidR="007F2843">
        <w:rPr>
          <w:rFonts w:ascii="Garamond" w:hAnsi="Garamond"/>
        </w:rPr>
        <w:t xml:space="preserve"> through tourism concessions</w:t>
      </w:r>
      <w:r>
        <w:rPr>
          <w:rFonts w:ascii="Garamond" w:hAnsi="Garamond"/>
        </w:rPr>
        <w:t xml:space="preserve">, check that they are compatible with the relevant spatial plans (see section </w:t>
      </w:r>
      <w:r w:rsidR="00053EB6">
        <w:rPr>
          <w:rFonts w:ascii="Garamond" w:hAnsi="Garamond"/>
        </w:rPr>
        <w:fldChar w:fldCharType="begin"/>
      </w:r>
      <w:r w:rsidR="00053EB6">
        <w:rPr>
          <w:rFonts w:ascii="Garamond" w:hAnsi="Garamond"/>
        </w:rPr>
        <w:instrText xml:space="preserve"> REF _Ref269370109 \r \h </w:instrText>
      </w:r>
      <w:r w:rsidR="00053EB6">
        <w:rPr>
          <w:rFonts w:ascii="Garamond" w:hAnsi="Garamond"/>
        </w:rPr>
      </w:r>
      <w:r w:rsidR="00053EB6">
        <w:rPr>
          <w:rFonts w:ascii="Garamond" w:hAnsi="Garamond"/>
        </w:rPr>
        <w:fldChar w:fldCharType="separate"/>
      </w:r>
      <w:r w:rsidR="00053EB6">
        <w:rPr>
          <w:rFonts w:ascii="Garamond" w:hAnsi="Garamond"/>
        </w:rPr>
        <w:t>3.2.2</w:t>
      </w:r>
      <w:r w:rsidR="00053EB6">
        <w:rPr>
          <w:rFonts w:ascii="Garamond" w:hAnsi="Garamond"/>
        </w:rPr>
        <w:fldChar w:fldCharType="end"/>
      </w:r>
      <w:r>
        <w:rPr>
          <w:rFonts w:ascii="Garamond" w:hAnsi="Garamond"/>
        </w:rPr>
        <w:t xml:space="preserve">). Also </w:t>
      </w:r>
      <w:r w:rsidR="007F2843">
        <w:rPr>
          <w:rFonts w:ascii="Garamond" w:hAnsi="Garamond"/>
        </w:rPr>
        <w:t>consider that certain products:</w:t>
      </w:r>
    </w:p>
    <w:p w14:paraId="098D70AE" w14:textId="77777777" w:rsidR="007F2843" w:rsidRDefault="007F2843" w:rsidP="00D27357">
      <w:pPr>
        <w:spacing w:before="0" w:after="0" w:line="240" w:lineRule="auto"/>
        <w:jc w:val="left"/>
        <w:rPr>
          <w:rFonts w:ascii="Garamond" w:hAnsi="Garamond"/>
        </w:rPr>
      </w:pPr>
    </w:p>
    <w:p w14:paraId="6A6B62C0" w14:textId="3B0111A7" w:rsidR="009B35B4" w:rsidRPr="009B35B4" w:rsidRDefault="009B35B4" w:rsidP="00F47607">
      <w:pPr>
        <w:pStyle w:val="ListParagraph"/>
        <w:numPr>
          <w:ilvl w:val="0"/>
          <w:numId w:val="8"/>
        </w:numPr>
        <w:spacing w:before="0" w:after="0" w:line="240" w:lineRule="auto"/>
        <w:jc w:val="left"/>
        <w:rPr>
          <w:rFonts w:ascii="Garamond" w:hAnsi="Garamond"/>
        </w:rPr>
      </w:pPr>
      <w:r w:rsidRPr="009B35B4">
        <w:rPr>
          <w:rFonts w:ascii="Garamond" w:hAnsi="Garamond"/>
          <w:b/>
        </w:rPr>
        <w:t>Require considerable capital investment</w:t>
      </w:r>
      <w:r w:rsidRPr="009B35B4">
        <w:rPr>
          <w:rFonts w:ascii="Garamond" w:hAnsi="Garamond"/>
        </w:rPr>
        <w:t xml:space="preserve">, with higher levels of </w:t>
      </w:r>
      <w:r w:rsidR="00E67001">
        <w:rPr>
          <w:rFonts w:ascii="Garamond" w:hAnsi="Garamond"/>
        </w:rPr>
        <w:t xml:space="preserve">financial </w:t>
      </w:r>
      <w:r w:rsidRPr="009B35B4">
        <w:rPr>
          <w:rFonts w:ascii="Garamond" w:hAnsi="Garamond"/>
        </w:rPr>
        <w:t>risk to investors, and therefore requiring longer concession periods to make a profit (e.g. luxury lodges; hotels; restaurants)</w:t>
      </w:r>
      <w:r w:rsidR="00053EB6">
        <w:rPr>
          <w:rFonts w:ascii="Garamond" w:hAnsi="Garamond"/>
        </w:rPr>
        <w:t>.</w:t>
      </w:r>
    </w:p>
    <w:p w14:paraId="24402D5E" w14:textId="330F135A" w:rsidR="007F2843" w:rsidRPr="009B35B4" w:rsidRDefault="007F2843" w:rsidP="00F47607">
      <w:pPr>
        <w:pStyle w:val="ListParagraph"/>
        <w:numPr>
          <w:ilvl w:val="0"/>
          <w:numId w:val="8"/>
        </w:numPr>
        <w:spacing w:before="0" w:after="0" w:line="240" w:lineRule="auto"/>
        <w:jc w:val="left"/>
        <w:rPr>
          <w:rFonts w:ascii="Garamond" w:hAnsi="Garamond"/>
        </w:rPr>
      </w:pPr>
      <w:r w:rsidRPr="009B35B4">
        <w:rPr>
          <w:rFonts w:ascii="Garamond" w:hAnsi="Garamond"/>
          <w:b/>
        </w:rPr>
        <w:t>Need little capital investment</w:t>
      </w:r>
      <w:r w:rsidR="009B35B4" w:rsidRPr="009B35B4">
        <w:rPr>
          <w:rFonts w:ascii="Garamond" w:hAnsi="Garamond"/>
          <w:b/>
        </w:rPr>
        <w:t xml:space="preserve">, </w:t>
      </w:r>
      <w:r w:rsidR="009B35B4" w:rsidRPr="009B35B4">
        <w:rPr>
          <w:rFonts w:ascii="Garamond" w:hAnsi="Garamond"/>
        </w:rPr>
        <w:t>with lower levels of</w:t>
      </w:r>
      <w:r w:rsidR="00E67001">
        <w:rPr>
          <w:rFonts w:ascii="Garamond" w:hAnsi="Garamond"/>
        </w:rPr>
        <w:t xml:space="preserve"> financial</w:t>
      </w:r>
      <w:r w:rsidR="009B35B4" w:rsidRPr="009B35B4">
        <w:rPr>
          <w:rFonts w:ascii="Garamond" w:hAnsi="Garamond"/>
        </w:rPr>
        <w:t xml:space="preserve"> risk and so requiring shorter concession periods</w:t>
      </w:r>
      <w:r w:rsidR="009B35B4" w:rsidRPr="009B35B4">
        <w:rPr>
          <w:rFonts w:ascii="Garamond" w:hAnsi="Garamond"/>
          <w:b/>
        </w:rPr>
        <w:t xml:space="preserve"> </w:t>
      </w:r>
      <w:r w:rsidR="009B35B4" w:rsidRPr="009B35B4">
        <w:rPr>
          <w:rFonts w:ascii="Garamond" w:hAnsi="Garamond"/>
        </w:rPr>
        <w:t>(</w:t>
      </w:r>
      <w:r w:rsidRPr="009B35B4">
        <w:rPr>
          <w:rFonts w:ascii="Garamond" w:hAnsi="Garamond"/>
        </w:rPr>
        <w:t>e.g.</w:t>
      </w:r>
      <w:r w:rsidR="003841E9" w:rsidRPr="009B35B4">
        <w:rPr>
          <w:rFonts w:ascii="Garamond" w:hAnsi="Garamond"/>
        </w:rPr>
        <w:t xml:space="preserve"> hiking trails, cycle events</w:t>
      </w:r>
      <w:r w:rsidRPr="009B35B4">
        <w:rPr>
          <w:rFonts w:ascii="Garamond" w:hAnsi="Garamond"/>
        </w:rPr>
        <w:t>, camp sites</w:t>
      </w:r>
      <w:r w:rsidR="009B35B4" w:rsidRPr="009B35B4">
        <w:rPr>
          <w:rFonts w:ascii="Garamond" w:hAnsi="Garamond"/>
        </w:rPr>
        <w:t>)</w:t>
      </w:r>
      <w:r w:rsidR="00053EB6">
        <w:rPr>
          <w:rFonts w:ascii="Garamond" w:hAnsi="Garamond"/>
        </w:rPr>
        <w:t>.</w:t>
      </w:r>
    </w:p>
    <w:p w14:paraId="42A7AE3B" w14:textId="4111656B" w:rsidR="007F2843" w:rsidRDefault="007F2843" w:rsidP="00F47607">
      <w:pPr>
        <w:pStyle w:val="ListParagraph"/>
        <w:numPr>
          <w:ilvl w:val="0"/>
          <w:numId w:val="8"/>
        </w:numPr>
        <w:spacing w:before="0" w:after="0" w:line="240" w:lineRule="auto"/>
        <w:jc w:val="left"/>
        <w:rPr>
          <w:rFonts w:ascii="Garamond" w:hAnsi="Garamond"/>
        </w:rPr>
      </w:pPr>
      <w:r w:rsidRPr="009B35B4">
        <w:rPr>
          <w:rFonts w:ascii="Garamond" w:hAnsi="Garamond"/>
          <w:b/>
        </w:rPr>
        <w:lastRenderedPageBreak/>
        <w:t>Require approvals from numerous agencies:</w:t>
      </w:r>
      <w:r w:rsidRPr="009B35B4">
        <w:rPr>
          <w:rFonts w:ascii="Garamond" w:hAnsi="Garamond"/>
        </w:rPr>
        <w:t xml:space="preserve"> e.g. transboundary </w:t>
      </w:r>
      <w:r w:rsidR="008C6F2F">
        <w:rPr>
          <w:rFonts w:ascii="Garamond" w:hAnsi="Garamond"/>
        </w:rPr>
        <w:t>events may require</w:t>
      </w:r>
      <w:r w:rsidRPr="009B35B4">
        <w:rPr>
          <w:rFonts w:ascii="Garamond" w:hAnsi="Garamond"/>
        </w:rPr>
        <w:t xml:space="preserve"> approvals from departments of immigration, labour</w:t>
      </w:r>
      <w:r w:rsidR="008C6F2F">
        <w:rPr>
          <w:rFonts w:ascii="Garamond" w:hAnsi="Garamond"/>
        </w:rPr>
        <w:t xml:space="preserve"> and finance</w:t>
      </w:r>
      <w:r w:rsidRPr="009B35B4">
        <w:rPr>
          <w:rFonts w:ascii="Garamond" w:hAnsi="Garamond"/>
        </w:rPr>
        <w:t>. Process can be complex, time-consuming, inconsistent and frustrating for c</w:t>
      </w:r>
      <w:r w:rsidR="00053EB6">
        <w:rPr>
          <w:rFonts w:ascii="Garamond" w:hAnsi="Garamond"/>
        </w:rPr>
        <w:t>oncessionaires and support agencies.</w:t>
      </w:r>
    </w:p>
    <w:p w14:paraId="722D0ED1" w14:textId="044F429E" w:rsidR="009B35B4" w:rsidRDefault="00053EB6" w:rsidP="00F47607">
      <w:pPr>
        <w:pStyle w:val="ListParagraph"/>
        <w:numPr>
          <w:ilvl w:val="0"/>
          <w:numId w:val="8"/>
        </w:numPr>
        <w:spacing w:before="0" w:after="0" w:line="240" w:lineRule="auto"/>
        <w:jc w:val="left"/>
        <w:rPr>
          <w:rFonts w:ascii="Garamond" w:hAnsi="Garamond"/>
        </w:rPr>
      </w:pPr>
      <w:r>
        <w:rPr>
          <w:rFonts w:ascii="Garamond" w:hAnsi="Garamond"/>
          <w:b/>
        </w:rPr>
        <w:t xml:space="preserve">Essential </w:t>
      </w:r>
      <w:r w:rsidR="002261AF">
        <w:rPr>
          <w:rFonts w:ascii="Garamond" w:hAnsi="Garamond"/>
          <w:b/>
        </w:rPr>
        <w:t xml:space="preserve">natural and cultural resources </w:t>
      </w:r>
      <w:r w:rsidR="002261AF" w:rsidRPr="002261AF">
        <w:rPr>
          <w:rFonts w:ascii="Garamond" w:hAnsi="Garamond"/>
        </w:rPr>
        <w:t>that make the particular product viable, different from competitive destinations, and adequate supporting infrastructure.</w:t>
      </w:r>
      <w:r w:rsidR="002261AF">
        <w:rPr>
          <w:rFonts w:ascii="Garamond" w:hAnsi="Garamond"/>
        </w:rPr>
        <w:t xml:space="preserve"> </w:t>
      </w:r>
    </w:p>
    <w:p w14:paraId="1CEAE775" w14:textId="77777777" w:rsidR="002261AF" w:rsidRPr="002261AF" w:rsidRDefault="002261AF" w:rsidP="002261AF">
      <w:pPr>
        <w:pStyle w:val="ListParagraph"/>
        <w:spacing w:before="0" w:after="0" w:line="240" w:lineRule="auto"/>
        <w:jc w:val="left"/>
        <w:rPr>
          <w:rFonts w:ascii="Garamond" w:hAnsi="Garamond"/>
        </w:rPr>
      </w:pPr>
    </w:p>
    <w:p w14:paraId="459E69DA" w14:textId="2622C4FF" w:rsidR="009B35B4" w:rsidRPr="009B35B4" w:rsidRDefault="009B35B4" w:rsidP="00D27357">
      <w:pPr>
        <w:spacing w:before="0" w:after="0" w:line="240" w:lineRule="auto"/>
        <w:jc w:val="left"/>
        <w:rPr>
          <w:rFonts w:ascii="Garamond" w:hAnsi="Garamond"/>
        </w:rPr>
      </w:pPr>
      <w:r w:rsidRPr="009B35B4">
        <w:rPr>
          <w:rFonts w:ascii="Garamond" w:hAnsi="Garamond"/>
        </w:rPr>
        <w:t xml:space="preserve">Some products may </w:t>
      </w:r>
      <w:r w:rsidR="006D6836">
        <w:rPr>
          <w:rFonts w:ascii="Garamond" w:hAnsi="Garamond"/>
        </w:rPr>
        <w:t>be so</w:t>
      </w:r>
      <w:r>
        <w:rPr>
          <w:rFonts w:ascii="Garamond" w:hAnsi="Garamond"/>
        </w:rPr>
        <w:t xml:space="preserve"> complex </w:t>
      </w:r>
      <w:r w:rsidR="006D6836">
        <w:rPr>
          <w:rFonts w:ascii="Garamond" w:hAnsi="Garamond"/>
        </w:rPr>
        <w:t>or untested</w:t>
      </w:r>
      <w:r w:rsidRPr="009B35B4">
        <w:rPr>
          <w:rFonts w:ascii="Garamond" w:hAnsi="Garamond"/>
        </w:rPr>
        <w:t xml:space="preserve"> that they need to be ‘in</w:t>
      </w:r>
      <w:r w:rsidR="00965EF4">
        <w:rPr>
          <w:rFonts w:ascii="Garamond" w:hAnsi="Garamond"/>
        </w:rPr>
        <w:t xml:space="preserve">cubated’ by a champion (e.g. a private </w:t>
      </w:r>
      <w:r w:rsidRPr="009B35B4">
        <w:rPr>
          <w:rFonts w:ascii="Garamond" w:hAnsi="Garamond"/>
        </w:rPr>
        <w:t xml:space="preserve">operator, a </w:t>
      </w:r>
      <w:r w:rsidR="00965EF4">
        <w:rPr>
          <w:rFonts w:ascii="Garamond" w:hAnsi="Garamond"/>
        </w:rPr>
        <w:t>PAA</w:t>
      </w:r>
      <w:r w:rsidRPr="009B35B4">
        <w:rPr>
          <w:rFonts w:ascii="Garamond" w:hAnsi="Garamond"/>
        </w:rPr>
        <w:t xml:space="preserve">, a TFCA management unit, </w:t>
      </w:r>
      <w:r w:rsidR="00965EF4">
        <w:rPr>
          <w:rFonts w:ascii="Garamond" w:hAnsi="Garamond"/>
        </w:rPr>
        <w:t xml:space="preserve">or </w:t>
      </w:r>
      <w:r w:rsidRPr="009B35B4">
        <w:rPr>
          <w:rFonts w:ascii="Garamond" w:hAnsi="Garamond"/>
        </w:rPr>
        <w:t xml:space="preserve">an NGO) before they are ready for concessioning. </w:t>
      </w:r>
      <w:r w:rsidR="006D6836">
        <w:rPr>
          <w:rFonts w:ascii="Garamond" w:hAnsi="Garamond"/>
        </w:rPr>
        <w:t xml:space="preserve"> If they are concessioned too early, </w:t>
      </w:r>
      <w:r w:rsidR="00E2734C">
        <w:rPr>
          <w:rFonts w:ascii="Garamond" w:hAnsi="Garamond"/>
        </w:rPr>
        <w:t>conservative</w:t>
      </w:r>
      <w:r w:rsidR="006D6836">
        <w:rPr>
          <w:rFonts w:ascii="Garamond" w:hAnsi="Garamond"/>
        </w:rPr>
        <w:t xml:space="preserve"> investors may not be willing to invest or take on the substantial levels of risk. </w:t>
      </w:r>
      <w:r>
        <w:rPr>
          <w:rFonts w:ascii="Garamond" w:hAnsi="Garamond"/>
        </w:rPr>
        <w:t xml:space="preserve"> During th</w:t>
      </w:r>
      <w:r w:rsidR="006D6836">
        <w:rPr>
          <w:rFonts w:ascii="Garamond" w:hAnsi="Garamond"/>
        </w:rPr>
        <w:t xml:space="preserve">e incubation period, a </w:t>
      </w:r>
      <w:r w:rsidR="00E67001">
        <w:rPr>
          <w:rFonts w:ascii="Garamond" w:hAnsi="Garamond"/>
        </w:rPr>
        <w:t>product may need substantial marketing and promotion; require the development of transboundary protocols (e.g. Sta</w:t>
      </w:r>
      <w:r w:rsidR="00965EF4">
        <w:rPr>
          <w:rFonts w:ascii="Garamond" w:hAnsi="Garamond"/>
        </w:rPr>
        <w:t>ndard Operating Procedures</w:t>
      </w:r>
      <w:r w:rsidR="00290FA9">
        <w:rPr>
          <w:rFonts w:ascii="Garamond" w:hAnsi="Garamond"/>
        </w:rPr>
        <w:t xml:space="preserve"> for border movements and revenue sharing</w:t>
      </w:r>
      <w:r w:rsidR="00965EF4">
        <w:rPr>
          <w:rFonts w:ascii="Garamond" w:hAnsi="Garamond"/>
        </w:rPr>
        <w:t>; mani</w:t>
      </w:r>
      <w:r w:rsidR="00E67001">
        <w:rPr>
          <w:rFonts w:ascii="Garamond" w:hAnsi="Garamond"/>
        </w:rPr>
        <w:t xml:space="preserve">fests). </w:t>
      </w:r>
      <w:r w:rsidRPr="009B35B4">
        <w:rPr>
          <w:rFonts w:ascii="Garamond" w:hAnsi="Garamond"/>
        </w:rPr>
        <w:t xml:space="preserve">In some instances, this may take several years (e.g. see </w:t>
      </w:r>
      <w:r w:rsidR="00053EB6" w:rsidRPr="00053EB6">
        <w:rPr>
          <w:rFonts w:ascii="Garamond" w:hAnsi="Garamond"/>
          <w:highlight w:val="yellow"/>
        </w:rPr>
        <w:fldChar w:fldCharType="begin"/>
      </w:r>
      <w:r w:rsidR="00053EB6" w:rsidRPr="00053EB6">
        <w:rPr>
          <w:rFonts w:ascii="Garamond" w:hAnsi="Garamond"/>
        </w:rPr>
        <w:instrText xml:space="preserve"> REF _Ref269370161 \h </w:instrText>
      </w:r>
      <w:r w:rsidR="00053EB6" w:rsidRPr="00053EB6">
        <w:rPr>
          <w:rFonts w:ascii="Garamond" w:hAnsi="Garamond"/>
          <w:highlight w:val="yellow"/>
        </w:rPr>
      </w:r>
      <w:r w:rsidR="00053EB6" w:rsidRPr="00053EB6">
        <w:rPr>
          <w:rFonts w:ascii="Garamond" w:hAnsi="Garamond"/>
          <w:highlight w:val="yellow"/>
        </w:rPr>
        <w:fldChar w:fldCharType="separate"/>
      </w:r>
      <w:r w:rsidR="00053EB6" w:rsidRPr="00053EB6">
        <w:rPr>
          <w:rFonts w:ascii="Garamond" w:hAnsi="Garamond"/>
        </w:rPr>
        <w:t xml:space="preserve">Box </w:t>
      </w:r>
      <w:r w:rsidR="00053EB6" w:rsidRPr="00053EB6">
        <w:rPr>
          <w:rFonts w:ascii="Garamond" w:hAnsi="Garamond"/>
          <w:noProof/>
        </w:rPr>
        <w:t>3</w:t>
      </w:r>
      <w:r w:rsidR="00053EB6" w:rsidRPr="00053EB6">
        <w:rPr>
          <w:rFonts w:ascii="Garamond" w:hAnsi="Garamond"/>
          <w:highlight w:val="yellow"/>
        </w:rPr>
        <w:fldChar w:fldCharType="end"/>
      </w:r>
      <w:r w:rsidRPr="00053EB6">
        <w:rPr>
          <w:rFonts w:ascii="Garamond" w:hAnsi="Garamond"/>
        </w:rPr>
        <w:t>).</w:t>
      </w:r>
      <w:r w:rsidRPr="009B35B4">
        <w:rPr>
          <w:rFonts w:ascii="Garamond" w:hAnsi="Garamond"/>
        </w:rPr>
        <w:t xml:space="preserve"> </w:t>
      </w:r>
    </w:p>
    <w:p w14:paraId="03927761" w14:textId="77777777" w:rsidR="009B35B4" w:rsidRDefault="009B35B4" w:rsidP="009B35B4">
      <w:pPr>
        <w:spacing w:before="0" w:after="0" w:line="240" w:lineRule="auto"/>
        <w:jc w:val="left"/>
        <w:rPr>
          <w:rFonts w:ascii="Garamond" w:hAnsi="Garamond"/>
        </w:rPr>
      </w:pPr>
    </w:p>
    <w:p w14:paraId="524B1D50" w14:textId="7CF152BB" w:rsidR="00506C12" w:rsidRPr="00506C12" w:rsidRDefault="00506C12" w:rsidP="00506C12">
      <w:pPr>
        <w:spacing w:before="0" w:after="0" w:line="240" w:lineRule="auto"/>
        <w:rPr>
          <w:rFonts w:ascii="Garamond" w:hAnsi="Garamond"/>
          <w:b/>
        </w:rPr>
      </w:pPr>
      <w:bookmarkStart w:id="32" w:name="_Ref269370161"/>
      <w:bookmarkStart w:id="33" w:name="_Toc269636037"/>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3</w:t>
      </w:r>
      <w:r w:rsidRPr="00506C12">
        <w:rPr>
          <w:rFonts w:ascii="Garamond" w:hAnsi="Garamond"/>
          <w:b/>
        </w:rPr>
        <w:fldChar w:fldCharType="end"/>
      </w:r>
      <w:bookmarkEnd w:id="32"/>
      <w:r>
        <w:rPr>
          <w:rFonts w:ascii="Garamond" w:hAnsi="Garamond"/>
          <w:b/>
        </w:rPr>
        <w:t>: Examples of transboundary event incubation</w:t>
      </w:r>
      <w:r w:rsidR="00AB71E2">
        <w:rPr>
          <w:rFonts w:ascii="Garamond" w:hAnsi="Garamond"/>
          <w:b/>
        </w:rPr>
        <w:t>: Desert Knights</w:t>
      </w:r>
      <w:r w:rsidR="00D26EAC">
        <w:rPr>
          <w:rStyle w:val="FootnoteReference"/>
          <w:rFonts w:ascii="Garamond" w:hAnsi="Garamond"/>
          <w:b/>
        </w:rPr>
        <w:footnoteReference w:id="17"/>
      </w:r>
      <w:bookmarkEnd w:id="33"/>
    </w:p>
    <w:tbl>
      <w:tblPr>
        <w:tblStyle w:val="TableGrid"/>
        <w:tblW w:w="0" w:type="auto"/>
        <w:tblLook w:val="04A0" w:firstRow="1" w:lastRow="0" w:firstColumn="1" w:lastColumn="0" w:noHBand="0" w:noVBand="1"/>
      </w:tblPr>
      <w:tblGrid>
        <w:gridCol w:w="9242"/>
      </w:tblGrid>
      <w:tr w:rsidR="009B35B4" w14:paraId="7FAE18C8" w14:textId="77777777" w:rsidTr="00E67001">
        <w:tc>
          <w:tcPr>
            <w:tcW w:w="9242" w:type="dxa"/>
          </w:tcPr>
          <w:p w14:paraId="38F78BD5" w14:textId="2C79E99A" w:rsidR="009B35B4" w:rsidRDefault="009B35B4" w:rsidP="00E67001">
            <w:pPr>
              <w:spacing w:before="0" w:after="0" w:line="240" w:lineRule="auto"/>
              <w:jc w:val="left"/>
              <w:rPr>
                <w:rFonts w:ascii="Garamond" w:hAnsi="Garamond"/>
                <w:b/>
              </w:rPr>
            </w:pPr>
          </w:p>
          <w:p w14:paraId="75303F6F" w14:textId="2B6EA9EE" w:rsidR="00F83142" w:rsidRPr="00332CBC" w:rsidRDefault="00F83142" w:rsidP="00F83142">
            <w:pPr>
              <w:spacing w:before="0" w:after="0" w:line="240" w:lineRule="auto"/>
              <w:jc w:val="left"/>
              <w:rPr>
                <w:rFonts w:ascii="Garamond" w:hAnsi="Garamond"/>
                <w:sz w:val="20"/>
                <w:szCs w:val="20"/>
              </w:rPr>
            </w:pPr>
            <w:r w:rsidRPr="00332CBC">
              <w:rPr>
                <w:rFonts w:ascii="Garamond" w:hAnsi="Garamond"/>
                <w:sz w:val="20"/>
                <w:szCs w:val="20"/>
              </w:rPr>
              <w:t>Desert Knights is a 7-day event that combines night-time mountain biking and a day of canoeing in the /Ai/Ais Richtersveld T</w:t>
            </w:r>
            <w:r w:rsidR="00AB71E2" w:rsidRPr="00332CBC">
              <w:rPr>
                <w:rFonts w:ascii="Garamond" w:hAnsi="Garamond"/>
                <w:sz w:val="20"/>
                <w:szCs w:val="20"/>
              </w:rPr>
              <w:t xml:space="preserve">ransfrontier </w:t>
            </w:r>
            <w:r w:rsidRPr="00332CBC">
              <w:rPr>
                <w:rFonts w:ascii="Garamond" w:hAnsi="Garamond"/>
                <w:sz w:val="20"/>
                <w:szCs w:val="20"/>
              </w:rPr>
              <w:t>P</w:t>
            </w:r>
            <w:r w:rsidR="00AB71E2" w:rsidRPr="00332CBC">
              <w:rPr>
                <w:rFonts w:ascii="Garamond" w:hAnsi="Garamond"/>
                <w:sz w:val="20"/>
                <w:szCs w:val="20"/>
              </w:rPr>
              <w:t>ark</w:t>
            </w:r>
            <w:r w:rsidRPr="00332CBC">
              <w:rPr>
                <w:rFonts w:ascii="Garamond" w:hAnsi="Garamond"/>
                <w:sz w:val="20"/>
                <w:szCs w:val="20"/>
              </w:rPr>
              <w:t xml:space="preserve">. </w:t>
            </w:r>
            <w:r w:rsidR="00D26EAC" w:rsidRPr="00332CBC">
              <w:rPr>
                <w:rFonts w:ascii="Garamond" w:hAnsi="Garamond"/>
                <w:sz w:val="20"/>
                <w:szCs w:val="20"/>
              </w:rPr>
              <w:t xml:space="preserve">The event was designed to promote TFCAs. </w:t>
            </w:r>
            <w:r w:rsidR="00AB71E2" w:rsidRPr="00332CBC">
              <w:rPr>
                <w:rFonts w:ascii="Garamond" w:hAnsi="Garamond"/>
                <w:sz w:val="20"/>
                <w:szCs w:val="20"/>
              </w:rPr>
              <w:t>The Ministry of Environment and Tourism</w:t>
            </w:r>
            <w:r w:rsidR="008F1888" w:rsidRPr="00332CBC">
              <w:rPr>
                <w:rFonts w:ascii="Garamond" w:hAnsi="Garamond"/>
                <w:sz w:val="20"/>
                <w:szCs w:val="20"/>
              </w:rPr>
              <w:t xml:space="preserve"> (MET) (Namibia) </w:t>
            </w:r>
            <w:r w:rsidR="00AB71E2" w:rsidRPr="00332CBC">
              <w:rPr>
                <w:rFonts w:ascii="Garamond" w:hAnsi="Garamond"/>
                <w:sz w:val="20"/>
                <w:szCs w:val="20"/>
              </w:rPr>
              <w:t>and SANParks (South Africa) embarked on a concessioning process</w:t>
            </w:r>
            <w:r w:rsidR="00130832" w:rsidRPr="00332CBC">
              <w:rPr>
                <w:rFonts w:ascii="Garamond" w:hAnsi="Garamond"/>
                <w:sz w:val="20"/>
                <w:szCs w:val="20"/>
              </w:rPr>
              <w:t xml:space="preserve"> in 200</w:t>
            </w:r>
            <w:r w:rsidR="00130832" w:rsidRPr="00332CBC">
              <w:rPr>
                <w:rFonts w:ascii="Garamond" w:hAnsi="Garamond"/>
                <w:sz w:val="20"/>
                <w:szCs w:val="20"/>
                <w:highlight w:val="yellow"/>
              </w:rPr>
              <w:t>X</w:t>
            </w:r>
            <w:r w:rsidR="00130832" w:rsidRPr="00332CBC">
              <w:rPr>
                <w:rFonts w:ascii="Garamond" w:hAnsi="Garamond"/>
                <w:sz w:val="20"/>
                <w:szCs w:val="20"/>
              </w:rPr>
              <w:t>. However</w:t>
            </w:r>
            <w:r w:rsidR="00D26EAC" w:rsidRPr="00332CBC">
              <w:rPr>
                <w:rFonts w:ascii="Garamond" w:hAnsi="Garamond"/>
                <w:sz w:val="20"/>
                <w:szCs w:val="20"/>
              </w:rPr>
              <w:t>, b</w:t>
            </w:r>
            <w:r w:rsidR="00130832" w:rsidRPr="00332CBC">
              <w:rPr>
                <w:rFonts w:ascii="Garamond" w:hAnsi="Garamond"/>
                <w:sz w:val="20"/>
                <w:szCs w:val="20"/>
              </w:rPr>
              <w:t xml:space="preserve">ecause </w:t>
            </w:r>
            <w:r w:rsidR="00D26EAC" w:rsidRPr="00332CBC">
              <w:rPr>
                <w:rFonts w:ascii="Garamond" w:hAnsi="Garamond"/>
                <w:sz w:val="20"/>
                <w:szCs w:val="20"/>
              </w:rPr>
              <w:t>the event did not have a track record in the market</w:t>
            </w:r>
            <w:r w:rsidR="00130832" w:rsidRPr="00332CBC">
              <w:rPr>
                <w:rFonts w:ascii="Garamond" w:hAnsi="Garamond"/>
                <w:sz w:val="20"/>
                <w:szCs w:val="20"/>
              </w:rPr>
              <w:t xml:space="preserve">, and </w:t>
            </w:r>
            <w:r w:rsidR="00B42F77" w:rsidRPr="00332CBC">
              <w:rPr>
                <w:rFonts w:ascii="Garamond" w:hAnsi="Garamond"/>
                <w:sz w:val="20"/>
                <w:szCs w:val="20"/>
              </w:rPr>
              <w:t xml:space="preserve">operational </w:t>
            </w:r>
            <w:r w:rsidR="00130832" w:rsidRPr="00332CBC">
              <w:rPr>
                <w:rFonts w:ascii="Garamond" w:hAnsi="Garamond"/>
                <w:sz w:val="20"/>
                <w:szCs w:val="20"/>
              </w:rPr>
              <w:t xml:space="preserve">costs were unknown, private operators were unwilling </w:t>
            </w:r>
            <w:r w:rsidR="00B42F77" w:rsidRPr="00332CBC">
              <w:rPr>
                <w:rFonts w:ascii="Garamond" w:hAnsi="Garamond"/>
                <w:sz w:val="20"/>
                <w:szCs w:val="20"/>
              </w:rPr>
              <w:t>to</w:t>
            </w:r>
            <w:r w:rsidR="00130832" w:rsidRPr="00332CBC">
              <w:rPr>
                <w:rFonts w:ascii="Garamond" w:hAnsi="Garamond"/>
                <w:sz w:val="20"/>
                <w:szCs w:val="20"/>
              </w:rPr>
              <w:t xml:space="preserve"> agree </w:t>
            </w:r>
            <w:r w:rsidR="00B42F77" w:rsidRPr="00332CBC">
              <w:rPr>
                <w:rFonts w:ascii="Garamond" w:hAnsi="Garamond"/>
                <w:sz w:val="20"/>
                <w:szCs w:val="20"/>
              </w:rPr>
              <w:t xml:space="preserve">to </w:t>
            </w:r>
            <w:r w:rsidR="00130832" w:rsidRPr="00332CBC">
              <w:rPr>
                <w:rFonts w:ascii="Garamond" w:hAnsi="Garamond"/>
                <w:sz w:val="20"/>
                <w:szCs w:val="20"/>
              </w:rPr>
              <w:t>fixed minimum fees</w:t>
            </w:r>
            <w:r w:rsidR="00AB71E2" w:rsidRPr="00332CBC">
              <w:rPr>
                <w:rFonts w:ascii="Garamond" w:hAnsi="Garamond"/>
                <w:sz w:val="20"/>
                <w:szCs w:val="20"/>
              </w:rPr>
              <w:t xml:space="preserve">. Since then, Namibia Wildlife Resources, the Namibian parastatal responsible for tourism management, has been tasked </w:t>
            </w:r>
            <w:r w:rsidR="008F1888" w:rsidRPr="00332CBC">
              <w:rPr>
                <w:rFonts w:ascii="Garamond" w:hAnsi="Garamond"/>
                <w:sz w:val="20"/>
                <w:szCs w:val="20"/>
              </w:rPr>
              <w:t>by MET and SANParks to</w:t>
            </w:r>
            <w:r w:rsidR="00AB71E2" w:rsidRPr="00332CBC">
              <w:rPr>
                <w:rFonts w:ascii="Garamond" w:hAnsi="Garamond"/>
                <w:sz w:val="20"/>
                <w:szCs w:val="20"/>
              </w:rPr>
              <w:t xml:space="preserve"> </w:t>
            </w:r>
            <w:r w:rsidR="008F1888" w:rsidRPr="00332CBC">
              <w:rPr>
                <w:rFonts w:ascii="Garamond" w:hAnsi="Garamond"/>
                <w:sz w:val="20"/>
                <w:szCs w:val="20"/>
              </w:rPr>
              <w:t>operate</w:t>
            </w:r>
            <w:r w:rsidR="00AB71E2" w:rsidRPr="00332CBC">
              <w:rPr>
                <w:rFonts w:ascii="Garamond" w:hAnsi="Garamond"/>
                <w:sz w:val="20"/>
                <w:szCs w:val="20"/>
              </w:rPr>
              <w:t xml:space="preserve"> the event</w:t>
            </w:r>
            <w:r w:rsidR="008F1888" w:rsidRPr="00332CBC">
              <w:rPr>
                <w:rFonts w:ascii="Garamond" w:hAnsi="Garamond"/>
                <w:sz w:val="20"/>
                <w:szCs w:val="20"/>
              </w:rPr>
              <w:t xml:space="preserve"> on their behalf</w:t>
            </w:r>
            <w:r w:rsidR="00AB71E2" w:rsidRPr="00332CBC">
              <w:rPr>
                <w:rFonts w:ascii="Garamond" w:hAnsi="Garamond"/>
                <w:sz w:val="20"/>
                <w:szCs w:val="20"/>
              </w:rPr>
              <w:t xml:space="preserve">. </w:t>
            </w:r>
            <w:r w:rsidR="008F1888" w:rsidRPr="00332CBC">
              <w:rPr>
                <w:rFonts w:ascii="Garamond" w:hAnsi="Garamond"/>
                <w:sz w:val="20"/>
                <w:szCs w:val="20"/>
              </w:rPr>
              <w:t xml:space="preserve"> Product design was supported by the Peace Parks Foundation (PPF) and Boundless Southern Africa in collaboration with both PAAs. The event was piloted over two years, 2011 and 2012, where logistics and market demand were tested</w:t>
            </w:r>
            <w:r w:rsidR="00B1137F" w:rsidRPr="00332CBC">
              <w:rPr>
                <w:rFonts w:ascii="Garamond" w:hAnsi="Garamond"/>
                <w:sz w:val="20"/>
                <w:szCs w:val="20"/>
              </w:rPr>
              <w:t>, and journalists and operators were invited to participate</w:t>
            </w:r>
            <w:r w:rsidR="008F1888" w:rsidRPr="00332CBC">
              <w:rPr>
                <w:rFonts w:ascii="Garamond" w:hAnsi="Garamond"/>
                <w:sz w:val="20"/>
                <w:szCs w:val="20"/>
              </w:rPr>
              <w:t xml:space="preserve">. By 2014, 100 tourists had signed up within 2 weeks of bookings opening. </w:t>
            </w:r>
          </w:p>
          <w:p w14:paraId="3C11531B" w14:textId="5C0394CE" w:rsidR="00F83142" w:rsidRPr="009B35B4" w:rsidRDefault="00332CBC" w:rsidP="00F83142">
            <w:pPr>
              <w:spacing w:before="0" w:after="0" w:line="240" w:lineRule="auto"/>
              <w:jc w:val="left"/>
              <w:rPr>
                <w:rFonts w:ascii="Garamond" w:hAnsi="Garamond"/>
              </w:rPr>
            </w:pPr>
            <w:r w:rsidRPr="00332CBC">
              <w:rPr>
                <w:rFonts w:ascii="Garamond" w:hAnsi="Garamond"/>
                <w:noProof/>
                <w:sz w:val="20"/>
                <w:szCs w:val="20"/>
              </w:rPr>
              <w:drawing>
                <wp:anchor distT="0" distB="0" distL="114300" distR="114300" simplePos="0" relativeHeight="251658240" behindDoc="0" locked="0" layoutInCell="1" allowOverlap="1" wp14:anchorId="22BCF35D" wp14:editId="10709734">
                  <wp:simplePos x="0" y="0"/>
                  <wp:positionH relativeFrom="column">
                    <wp:posOffset>3633470</wp:posOffset>
                  </wp:positionH>
                  <wp:positionV relativeFrom="paragraph">
                    <wp:posOffset>-1590040</wp:posOffset>
                  </wp:positionV>
                  <wp:extent cx="2163445" cy="2544445"/>
                  <wp:effectExtent l="0" t="0" r="0" b="0"/>
                  <wp:wrapTight wrapText="bothSides">
                    <wp:wrapPolygon edited="0">
                      <wp:start x="0" y="0"/>
                      <wp:lineTo x="0" y="21347"/>
                      <wp:lineTo x="21302" y="21347"/>
                      <wp:lineTo x="2130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knights1.jpg"/>
                          <pic:cNvPicPr/>
                        </pic:nvPicPr>
                        <pic:blipFill>
                          <a:blip r:embed="rId43">
                            <a:extLst>
                              <a:ext uri="{28A0092B-C50C-407E-A947-70E740481C1C}">
                                <a14:useLocalDpi xmlns:a14="http://schemas.microsoft.com/office/drawing/2010/main" val="0"/>
                              </a:ext>
                            </a:extLst>
                          </a:blip>
                          <a:stretch>
                            <a:fillRect/>
                          </a:stretch>
                        </pic:blipFill>
                        <pic:spPr>
                          <a:xfrm>
                            <a:off x="0" y="0"/>
                            <a:ext cx="2163445" cy="2544445"/>
                          </a:xfrm>
                          <a:prstGeom prst="rect">
                            <a:avLst/>
                          </a:prstGeom>
                        </pic:spPr>
                      </pic:pic>
                    </a:graphicData>
                  </a:graphic>
                  <wp14:sizeRelH relativeFrom="page">
                    <wp14:pctWidth>0</wp14:pctWidth>
                  </wp14:sizeRelH>
                  <wp14:sizeRelV relativeFrom="page">
                    <wp14:pctHeight>0</wp14:pctHeight>
                  </wp14:sizeRelV>
                </wp:anchor>
              </w:drawing>
            </w:r>
          </w:p>
        </w:tc>
      </w:tr>
    </w:tbl>
    <w:p w14:paraId="3A42EAFA" w14:textId="3F7D13F4" w:rsidR="002E65C5" w:rsidRPr="00A70CFF" w:rsidRDefault="00C00F2B" w:rsidP="00A70CFF">
      <w:pPr>
        <w:spacing w:before="0" w:after="0" w:line="240" w:lineRule="auto"/>
        <w:rPr>
          <w:rFonts w:ascii="Garamond" w:hAnsi="Garamond"/>
        </w:rPr>
      </w:pPr>
      <w:r>
        <w:rPr>
          <w:rFonts w:ascii="Garamond" w:hAnsi="Garamond"/>
          <w:noProof/>
        </w:rPr>
        <w:drawing>
          <wp:inline distT="0" distB="0" distL="0" distR="0" wp14:anchorId="0B1CCCEC" wp14:editId="75872FE4">
            <wp:extent cx="2254250" cy="660400"/>
            <wp:effectExtent l="50800" t="25400" r="0"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43D452C" w14:textId="6831DFB8" w:rsidR="002E65C5" w:rsidRDefault="002E65C5" w:rsidP="002E65C5">
      <w:pPr>
        <w:pStyle w:val="Heading3"/>
        <w:rPr>
          <w:rFonts w:ascii="Garamond" w:hAnsi="Garamond"/>
        </w:rPr>
      </w:pPr>
      <w:bookmarkStart w:id="34" w:name="_Ref268856289"/>
      <w:bookmarkStart w:id="35" w:name="_Toc269636333"/>
      <w:r>
        <w:rPr>
          <w:rFonts w:ascii="Garamond" w:hAnsi="Garamond"/>
        </w:rPr>
        <w:t>Concession model selection</w:t>
      </w:r>
      <w:bookmarkEnd w:id="34"/>
      <w:bookmarkEnd w:id="35"/>
    </w:p>
    <w:p w14:paraId="53CC6D68" w14:textId="77777777" w:rsidR="009823B2" w:rsidRDefault="009823B2" w:rsidP="0007350B">
      <w:pPr>
        <w:spacing w:before="0" w:after="0" w:line="240" w:lineRule="auto"/>
      </w:pPr>
    </w:p>
    <w:p w14:paraId="2FA51E46" w14:textId="07214DA7" w:rsidR="002A75D1" w:rsidRDefault="000909BD" w:rsidP="0007350B">
      <w:pPr>
        <w:spacing w:before="0" w:after="0" w:line="240" w:lineRule="auto"/>
        <w:rPr>
          <w:rFonts w:ascii="Garamond" w:hAnsi="Garamond"/>
        </w:rPr>
      </w:pPr>
      <w:r w:rsidRPr="004556CD">
        <w:rPr>
          <w:rFonts w:ascii="Garamond" w:hAnsi="Garamond"/>
        </w:rPr>
        <w:t>The</w:t>
      </w:r>
      <w:r w:rsidR="0007350B">
        <w:rPr>
          <w:rFonts w:ascii="Garamond" w:hAnsi="Garamond"/>
        </w:rPr>
        <w:t>re</w:t>
      </w:r>
      <w:r w:rsidRPr="004556CD">
        <w:rPr>
          <w:rFonts w:ascii="Garamond" w:hAnsi="Garamond"/>
        </w:rPr>
        <w:t xml:space="preserve"> are three main types of concession</w:t>
      </w:r>
      <w:r w:rsidR="004556CD">
        <w:rPr>
          <w:rFonts w:ascii="Garamond" w:hAnsi="Garamond"/>
        </w:rPr>
        <w:t xml:space="preserve"> model</w:t>
      </w:r>
      <w:r w:rsidR="00A70CFF">
        <w:rPr>
          <w:rFonts w:ascii="Garamond" w:hAnsi="Garamond"/>
        </w:rPr>
        <w:t xml:space="preserve">: Management, Service/lease and Pure Concession (or Public Private Partnership (PPP) (see </w:t>
      </w:r>
      <w:r w:rsidR="00FF2AC3" w:rsidRPr="00FF2AC3">
        <w:rPr>
          <w:rFonts w:ascii="Garamond" w:hAnsi="Garamond"/>
        </w:rPr>
        <w:fldChar w:fldCharType="begin"/>
      </w:r>
      <w:r w:rsidR="00FF2AC3" w:rsidRPr="00FF2AC3">
        <w:rPr>
          <w:rFonts w:ascii="Garamond" w:hAnsi="Garamond"/>
        </w:rPr>
        <w:instrText xml:space="preserve"> REF _Ref269371417 \h </w:instrText>
      </w:r>
      <w:r w:rsidR="00FF2AC3" w:rsidRPr="00FF2AC3">
        <w:rPr>
          <w:rFonts w:ascii="Garamond" w:hAnsi="Garamond"/>
        </w:rPr>
      </w:r>
      <w:r w:rsidR="00FF2AC3" w:rsidRPr="00FF2AC3">
        <w:rPr>
          <w:rFonts w:ascii="Garamond" w:hAnsi="Garamond"/>
        </w:rPr>
        <w:fldChar w:fldCharType="separate"/>
      </w:r>
      <w:r w:rsidR="00FF2AC3" w:rsidRPr="00FF2AC3">
        <w:rPr>
          <w:rFonts w:ascii="Garamond" w:hAnsi="Garamond"/>
        </w:rPr>
        <w:t xml:space="preserve">Table </w:t>
      </w:r>
      <w:r w:rsidR="00FF2AC3" w:rsidRPr="00FF2AC3">
        <w:rPr>
          <w:rFonts w:ascii="Garamond" w:hAnsi="Garamond"/>
          <w:noProof/>
        </w:rPr>
        <w:t>2</w:t>
      </w:r>
      <w:r w:rsidR="00FF2AC3" w:rsidRPr="00FF2AC3">
        <w:rPr>
          <w:rFonts w:ascii="Garamond" w:hAnsi="Garamond"/>
        </w:rPr>
        <w:fldChar w:fldCharType="end"/>
      </w:r>
      <w:r w:rsidR="00A70CFF" w:rsidRPr="00FF2AC3">
        <w:rPr>
          <w:rFonts w:ascii="Garamond" w:hAnsi="Garamond"/>
        </w:rPr>
        <w:t>)</w:t>
      </w:r>
      <w:r w:rsidR="00AF55E5" w:rsidRPr="00FF2AC3">
        <w:rPr>
          <w:rFonts w:ascii="Garamond" w:hAnsi="Garamond"/>
        </w:rPr>
        <w:t>.</w:t>
      </w:r>
      <w:r w:rsidR="004556CD" w:rsidRPr="004556CD">
        <w:rPr>
          <w:rStyle w:val="FootnoteReference"/>
          <w:rFonts w:ascii="Garamond" w:hAnsi="Garamond"/>
        </w:rPr>
        <w:t xml:space="preserve"> </w:t>
      </w:r>
    </w:p>
    <w:p w14:paraId="143D2F26" w14:textId="77777777" w:rsidR="00E7110D" w:rsidRDefault="00E7110D" w:rsidP="0007350B">
      <w:pPr>
        <w:spacing w:before="0" w:after="0" w:line="240" w:lineRule="auto"/>
        <w:rPr>
          <w:rFonts w:ascii="Garamond" w:hAnsi="Garamond"/>
        </w:rPr>
      </w:pPr>
    </w:p>
    <w:p w14:paraId="476AA792" w14:textId="23ACB95D" w:rsidR="00E7110D" w:rsidRPr="00E7110D" w:rsidRDefault="00E7110D" w:rsidP="00E7110D">
      <w:pPr>
        <w:spacing w:before="0" w:after="0" w:line="240" w:lineRule="auto"/>
        <w:rPr>
          <w:rFonts w:ascii="Garamond" w:hAnsi="Garamond"/>
          <w:b/>
        </w:rPr>
      </w:pPr>
      <w:bookmarkStart w:id="36" w:name="_Ref269371417"/>
      <w:bookmarkStart w:id="37" w:name="_Toc269636032"/>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Pr>
          <w:rFonts w:ascii="Garamond" w:hAnsi="Garamond"/>
          <w:b/>
          <w:noProof/>
        </w:rPr>
        <w:t>2</w:t>
      </w:r>
      <w:r w:rsidRPr="00E7110D">
        <w:rPr>
          <w:rFonts w:ascii="Garamond" w:hAnsi="Garamond"/>
          <w:b/>
          <w:noProof/>
        </w:rPr>
        <w:fldChar w:fldCharType="end"/>
      </w:r>
      <w:bookmarkEnd w:id="36"/>
      <w:r w:rsidRPr="00E7110D">
        <w:rPr>
          <w:rFonts w:ascii="Garamond" w:hAnsi="Garamond"/>
          <w:b/>
        </w:rPr>
        <w:t>: Tourism activ</w:t>
      </w:r>
      <w:r>
        <w:rPr>
          <w:rFonts w:ascii="Garamond" w:hAnsi="Garamond"/>
          <w:b/>
        </w:rPr>
        <w:t>ities and products in SADC TFCA</w:t>
      </w:r>
      <w:r w:rsidR="00FF2AC3" w:rsidRPr="004556CD">
        <w:rPr>
          <w:rStyle w:val="FootnoteReference"/>
          <w:rFonts w:ascii="Garamond" w:hAnsi="Garamond"/>
        </w:rPr>
        <w:footnoteReference w:id="18"/>
      </w:r>
      <w:bookmarkEnd w:id="37"/>
    </w:p>
    <w:p w14:paraId="0A6FB7E2" w14:textId="77777777" w:rsidR="00E7110D" w:rsidRPr="00E7110D" w:rsidRDefault="00E7110D" w:rsidP="0007350B">
      <w:pPr>
        <w:spacing w:before="0" w:after="0" w:line="240" w:lineRule="auto"/>
        <w:rPr>
          <w:rFonts w:ascii="Garamond" w:hAnsi="Garamond"/>
          <w:sz w:val="2"/>
          <w:szCs w:val="2"/>
        </w:rPr>
      </w:pPr>
    </w:p>
    <w:tbl>
      <w:tblPr>
        <w:tblStyle w:val="TableGrid"/>
        <w:tblW w:w="0" w:type="auto"/>
        <w:tblLayout w:type="fixed"/>
        <w:tblLook w:val="04A0" w:firstRow="1" w:lastRow="0" w:firstColumn="1" w:lastColumn="0" w:noHBand="0" w:noVBand="1"/>
      </w:tblPr>
      <w:tblGrid>
        <w:gridCol w:w="1384"/>
        <w:gridCol w:w="2410"/>
        <w:gridCol w:w="992"/>
        <w:gridCol w:w="2410"/>
        <w:gridCol w:w="2046"/>
      </w:tblGrid>
      <w:tr w:rsidR="002A75D1" w:rsidRPr="00E7110D" w14:paraId="696A8C87" w14:textId="77777777" w:rsidTr="004B5612">
        <w:tc>
          <w:tcPr>
            <w:tcW w:w="1384" w:type="dxa"/>
          </w:tcPr>
          <w:p w14:paraId="490EC527"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Type of agreement</w:t>
            </w:r>
          </w:p>
        </w:tc>
        <w:tc>
          <w:tcPr>
            <w:tcW w:w="2410" w:type="dxa"/>
          </w:tcPr>
          <w:p w14:paraId="56AE4853"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Description</w:t>
            </w:r>
          </w:p>
        </w:tc>
        <w:tc>
          <w:tcPr>
            <w:tcW w:w="992" w:type="dxa"/>
          </w:tcPr>
          <w:p w14:paraId="77198C37" w14:textId="4A8A25D0" w:rsidR="002A75D1" w:rsidRPr="00E7110D" w:rsidRDefault="002A75D1" w:rsidP="00AF55E5">
            <w:pPr>
              <w:spacing w:before="0" w:after="0" w:line="240" w:lineRule="auto"/>
              <w:jc w:val="left"/>
              <w:rPr>
                <w:rFonts w:ascii="Garamond" w:hAnsi="Garamond"/>
                <w:b/>
                <w:sz w:val="20"/>
                <w:szCs w:val="20"/>
              </w:rPr>
            </w:pPr>
            <w:r w:rsidRPr="00E7110D">
              <w:rPr>
                <w:rFonts w:ascii="Garamond" w:hAnsi="Garamond"/>
                <w:b/>
                <w:sz w:val="20"/>
                <w:szCs w:val="20"/>
              </w:rPr>
              <w:t xml:space="preserve">Typical </w:t>
            </w:r>
            <w:r w:rsidR="00AF55E5" w:rsidRPr="00E7110D">
              <w:rPr>
                <w:rFonts w:ascii="Garamond" w:hAnsi="Garamond"/>
                <w:b/>
                <w:sz w:val="20"/>
                <w:szCs w:val="20"/>
              </w:rPr>
              <w:t>length</w:t>
            </w:r>
          </w:p>
        </w:tc>
        <w:tc>
          <w:tcPr>
            <w:tcW w:w="2410" w:type="dxa"/>
          </w:tcPr>
          <w:p w14:paraId="2A2501AF"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Asset ownership</w:t>
            </w:r>
          </w:p>
        </w:tc>
        <w:tc>
          <w:tcPr>
            <w:tcW w:w="2046" w:type="dxa"/>
          </w:tcPr>
          <w:p w14:paraId="68BE5909"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Example of tourism product type</w:t>
            </w:r>
          </w:p>
        </w:tc>
      </w:tr>
      <w:tr w:rsidR="002A75D1" w:rsidRPr="00E7110D" w14:paraId="1D0F9F3B" w14:textId="77777777" w:rsidTr="004B5612">
        <w:tc>
          <w:tcPr>
            <w:tcW w:w="1384" w:type="dxa"/>
          </w:tcPr>
          <w:p w14:paraId="104D759D"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Management</w:t>
            </w:r>
          </w:p>
          <w:p w14:paraId="06A5B598" w14:textId="77777777" w:rsidR="002A75D1" w:rsidRPr="00E7110D" w:rsidRDefault="002A75D1" w:rsidP="002A75D1">
            <w:pPr>
              <w:spacing w:before="0" w:after="0" w:line="240" w:lineRule="auto"/>
              <w:jc w:val="left"/>
              <w:rPr>
                <w:rFonts w:ascii="Garamond" w:hAnsi="Garamond"/>
                <w:sz w:val="20"/>
                <w:szCs w:val="20"/>
              </w:rPr>
            </w:pPr>
          </w:p>
        </w:tc>
        <w:tc>
          <w:tcPr>
            <w:tcW w:w="2410" w:type="dxa"/>
          </w:tcPr>
          <w:p w14:paraId="1E344C7B" w14:textId="5C6FC92F"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 a</w:t>
            </w:r>
            <w:r w:rsidR="002A75D1" w:rsidRPr="00E7110D">
              <w:rPr>
                <w:rFonts w:ascii="Garamond" w:hAnsi="Garamond"/>
                <w:sz w:val="20"/>
                <w:szCs w:val="20"/>
              </w:rPr>
              <w:t>uthority</w:t>
            </w:r>
            <w:r w:rsidRPr="00E7110D">
              <w:rPr>
                <w:rFonts w:ascii="Garamond" w:hAnsi="Garamond"/>
                <w:sz w:val="20"/>
                <w:szCs w:val="20"/>
              </w:rPr>
              <w:t xml:space="preserve"> delegates management</w:t>
            </w:r>
            <w:r w:rsidR="002A75D1" w:rsidRPr="00E7110D">
              <w:rPr>
                <w:rFonts w:ascii="Garamond" w:hAnsi="Garamond"/>
                <w:sz w:val="20"/>
                <w:szCs w:val="20"/>
              </w:rPr>
              <w:t xml:space="preserve"> to an experienced private operator </w:t>
            </w:r>
            <w:r w:rsidRPr="00E7110D">
              <w:rPr>
                <w:rFonts w:ascii="Garamond" w:hAnsi="Garamond"/>
                <w:sz w:val="20"/>
                <w:szCs w:val="20"/>
              </w:rPr>
              <w:t xml:space="preserve">through a management contract, </w:t>
            </w:r>
            <w:r w:rsidR="002A75D1" w:rsidRPr="00E7110D">
              <w:rPr>
                <w:rFonts w:ascii="Garamond" w:hAnsi="Garamond"/>
                <w:sz w:val="20"/>
                <w:szCs w:val="20"/>
              </w:rPr>
              <w:t>in return for the payment of fixed management fees</w:t>
            </w:r>
            <w:r w:rsidRPr="00E7110D">
              <w:rPr>
                <w:rFonts w:ascii="Garamond" w:hAnsi="Garamond"/>
                <w:sz w:val="20"/>
                <w:szCs w:val="20"/>
              </w:rPr>
              <w:t>,</w:t>
            </w:r>
            <w:r w:rsidR="002A75D1" w:rsidRPr="00E7110D">
              <w:rPr>
                <w:rFonts w:ascii="Garamond" w:hAnsi="Garamond"/>
                <w:sz w:val="20"/>
                <w:szCs w:val="20"/>
              </w:rPr>
              <w:t xml:space="preserve"> </w:t>
            </w:r>
            <w:r w:rsidR="002A75D1" w:rsidRPr="00E7110D">
              <w:rPr>
                <w:rFonts w:ascii="Garamond" w:hAnsi="Garamond"/>
                <w:sz w:val="20"/>
                <w:szCs w:val="20"/>
              </w:rPr>
              <w:lastRenderedPageBreak/>
              <w:t xml:space="preserve">based on performance. </w:t>
            </w:r>
          </w:p>
          <w:p w14:paraId="1E547D24" w14:textId="77268AC8"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w:t>
            </w:r>
            <w:r w:rsidR="002A75D1" w:rsidRPr="00E7110D">
              <w:rPr>
                <w:rFonts w:ascii="Garamond" w:hAnsi="Garamond"/>
                <w:sz w:val="20"/>
                <w:szCs w:val="20"/>
              </w:rPr>
              <w:t xml:space="preserve"> management contract </w:t>
            </w:r>
            <w:r w:rsidRPr="00E7110D">
              <w:rPr>
                <w:rFonts w:ascii="Garamond" w:hAnsi="Garamond"/>
                <w:sz w:val="20"/>
                <w:szCs w:val="20"/>
              </w:rPr>
              <w:t>has</w:t>
            </w:r>
            <w:r w:rsidR="002A75D1" w:rsidRPr="00E7110D">
              <w:rPr>
                <w:rFonts w:ascii="Garamond" w:hAnsi="Garamond"/>
                <w:sz w:val="20"/>
                <w:szCs w:val="20"/>
              </w:rPr>
              <w:t xml:space="preserve"> clear performance indicators. </w:t>
            </w:r>
          </w:p>
        </w:tc>
        <w:tc>
          <w:tcPr>
            <w:tcW w:w="992" w:type="dxa"/>
          </w:tcPr>
          <w:p w14:paraId="2A51A37F"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lastRenderedPageBreak/>
              <w:t>5 years</w:t>
            </w:r>
          </w:p>
        </w:tc>
        <w:tc>
          <w:tcPr>
            <w:tcW w:w="2410" w:type="dxa"/>
          </w:tcPr>
          <w:p w14:paraId="57C85203" w14:textId="3EEFB8D8" w:rsidR="002A75D1" w:rsidRPr="00E7110D" w:rsidRDefault="003C537F" w:rsidP="007F534A">
            <w:pPr>
              <w:spacing w:before="0" w:after="0" w:line="240" w:lineRule="auto"/>
              <w:jc w:val="left"/>
              <w:rPr>
                <w:rFonts w:ascii="Garamond" w:hAnsi="Garamond"/>
                <w:sz w:val="20"/>
                <w:szCs w:val="20"/>
              </w:rPr>
            </w:pPr>
            <w:r w:rsidRPr="00E7110D">
              <w:rPr>
                <w:rFonts w:ascii="Garamond" w:hAnsi="Garamond"/>
                <w:b/>
                <w:sz w:val="20"/>
                <w:szCs w:val="20"/>
              </w:rPr>
              <w:t>Authority</w:t>
            </w:r>
            <w:r w:rsidR="002A75D1" w:rsidRPr="00E7110D">
              <w:rPr>
                <w:rFonts w:ascii="Garamond" w:hAnsi="Garamond"/>
                <w:b/>
                <w:sz w:val="20"/>
                <w:szCs w:val="20"/>
              </w:rPr>
              <w:t>:</w:t>
            </w:r>
            <w:r w:rsidRPr="00E7110D">
              <w:rPr>
                <w:rFonts w:ascii="Garamond" w:hAnsi="Garamond"/>
                <w:sz w:val="20"/>
                <w:szCs w:val="20"/>
              </w:rPr>
              <w:t xml:space="preserve"> P</w:t>
            </w:r>
            <w:r w:rsidR="002A75D1" w:rsidRPr="00E7110D">
              <w:rPr>
                <w:rFonts w:ascii="Garamond" w:hAnsi="Garamond"/>
                <w:sz w:val="20"/>
                <w:szCs w:val="20"/>
              </w:rPr>
              <w:t xml:space="preserve">art of the operating risk may be transferred to the concessionaire. </w:t>
            </w:r>
          </w:p>
          <w:p w14:paraId="18FA1BAD" w14:textId="0DFC8D10" w:rsidR="002A75D1" w:rsidRPr="00E7110D" w:rsidRDefault="002A75D1" w:rsidP="002A75D1">
            <w:pPr>
              <w:spacing w:before="0" w:after="0" w:line="240" w:lineRule="auto"/>
              <w:jc w:val="left"/>
              <w:rPr>
                <w:rFonts w:ascii="Garamond" w:hAnsi="Garamond"/>
                <w:sz w:val="20"/>
                <w:szCs w:val="20"/>
              </w:rPr>
            </w:pPr>
          </w:p>
        </w:tc>
        <w:tc>
          <w:tcPr>
            <w:tcW w:w="2046" w:type="dxa"/>
          </w:tcPr>
          <w:p w14:paraId="4E047BD6" w14:textId="1D224289"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Management of established accommodation, rest</w:t>
            </w:r>
            <w:r w:rsidR="003C537F" w:rsidRPr="00E7110D">
              <w:rPr>
                <w:rFonts w:ascii="Garamond" w:hAnsi="Garamond"/>
                <w:sz w:val="20"/>
                <w:szCs w:val="20"/>
              </w:rPr>
              <w:t>aurant</w:t>
            </w:r>
            <w:r w:rsidR="000E71E7">
              <w:rPr>
                <w:rFonts w:ascii="Garamond" w:hAnsi="Garamond"/>
                <w:sz w:val="20"/>
                <w:szCs w:val="20"/>
              </w:rPr>
              <w:t>, event</w:t>
            </w:r>
            <w:r w:rsidR="003C537F" w:rsidRPr="00E7110D">
              <w:rPr>
                <w:rFonts w:ascii="Garamond" w:hAnsi="Garamond"/>
                <w:sz w:val="20"/>
                <w:szCs w:val="20"/>
              </w:rPr>
              <w:t xml:space="preserve"> or retail facility </w:t>
            </w:r>
            <w:r w:rsidRPr="00E7110D">
              <w:rPr>
                <w:rFonts w:ascii="Garamond" w:hAnsi="Garamond"/>
                <w:sz w:val="20"/>
                <w:szCs w:val="20"/>
              </w:rPr>
              <w:t>(e.g. Awelani Lodge, operated by TFPD).</w:t>
            </w:r>
          </w:p>
        </w:tc>
      </w:tr>
      <w:tr w:rsidR="002A75D1" w:rsidRPr="00E7110D" w14:paraId="364AD62B" w14:textId="77777777" w:rsidTr="004B5612">
        <w:tc>
          <w:tcPr>
            <w:tcW w:w="1384" w:type="dxa"/>
          </w:tcPr>
          <w:p w14:paraId="379E0437" w14:textId="33C3C885"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lastRenderedPageBreak/>
              <w:t>Service</w:t>
            </w:r>
            <w:r w:rsidR="003C537F" w:rsidRPr="00E7110D">
              <w:rPr>
                <w:rFonts w:ascii="Garamond" w:hAnsi="Garamond"/>
                <w:sz w:val="20"/>
                <w:szCs w:val="20"/>
              </w:rPr>
              <w:t xml:space="preserve"> / Lease</w:t>
            </w:r>
          </w:p>
          <w:p w14:paraId="44147E68" w14:textId="77777777" w:rsidR="002A75D1" w:rsidRPr="00E7110D" w:rsidRDefault="002A75D1" w:rsidP="002A75D1">
            <w:pPr>
              <w:spacing w:before="0" w:after="0" w:line="240" w:lineRule="auto"/>
              <w:jc w:val="left"/>
              <w:rPr>
                <w:rFonts w:ascii="Garamond" w:hAnsi="Garamond"/>
                <w:sz w:val="20"/>
                <w:szCs w:val="20"/>
              </w:rPr>
            </w:pPr>
          </w:p>
        </w:tc>
        <w:tc>
          <w:tcPr>
            <w:tcW w:w="2410" w:type="dxa"/>
          </w:tcPr>
          <w:p w14:paraId="6142401C" w14:textId="0D930692"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 authority creates a lease agreement with the concessionaire. The concessionaire's profits depend directly on the operating profits of their tourism enterprise, and they adopt full operating risk.</w:t>
            </w:r>
          </w:p>
        </w:tc>
        <w:tc>
          <w:tcPr>
            <w:tcW w:w="992" w:type="dxa"/>
          </w:tcPr>
          <w:p w14:paraId="45A25454"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&lt;5 years</w:t>
            </w:r>
          </w:p>
        </w:tc>
        <w:tc>
          <w:tcPr>
            <w:tcW w:w="2410" w:type="dxa"/>
          </w:tcPr>
          <w:p w14:paraId="7F89F267" w14:textId="5B4938C3" w:rsidR="002A75D1" w:rsidRPr="00E7110D" w:rsidRDefault="003C537F" w:rsidP="002A75D1">
            <w:pPr>
              <w:spacing w:before="0" w:after="0" w:line="240" w:lineRule="auto"/>
              <w:jc w:val="left"/>
              <w:rPr>
                <w:rFonts w:ascii="Garamond" w:hAnsi="Garamond"/>
                <w:sz w:val="20"/>
                <w:szCs w:val="20"/>
              </w:rPr>
            </w:pPr>
            <w:r w:rsidRPr="00E7110D">
              <w:rPr>
                <w:rFonts w:ascii="Garamond" w:hAnsi="Garamond"/>
                <w:b/>
                <w:sz w:val="20"/>
                <w:szCs w:val="20"/>
              </w:rPr>
              <w:t>Authority</w:t>
            </w:r>
            <w:r w:rsidR="002A75D1" w:rsidRPr="00E7110D">
              <w:rPr>
                <w:rFonts w:ascii="Garamond" w:hAnsi="Garamond"/>
                <w:b/>
                <w:sz w:val="20"/>
                <w:szCs w:val="20"/>
              </w:rPr>
              <w:t>:</w:t>
            </w:r>
            <w:r w:rsidR="002A75D1" w:rsidRPr="00E7110D">
              <w:rPr>
                <w:rFonts w:ascii="Garamond" w:hAnsi="Garamond"/>
                <w:sz w:val="20"/>
                <w:szCs w:val="20"/>
              </w:rPr>
              <w:t xml:space="preserve"> Owns infrastructure, cash flow, operations management</w:t>
            </w:r>
            <w:r w:rsidRPr="00E7110D">
              <w:rPr>
                <w:rFonts w:ascii="Garamond" w:hAnsi="Garamond"/>
                <w:sz w:val="20"/>
                <w:szCs w:val="20"/>
              </w:rPr>
              <w:t>, and retains investment risk</w:t>
            </w:r>
          </w:p>
        </w:tc>
        <w:tc>
          <w:tcPr>
            <w:tcW w:w="2046" w:type="dxa"/>
          </w:tcPr>
          <w:p w14:paraId="6A255C17" w14:textId="4EEEDAA8" w:rsidR="002A75D1" w:rsidRPr="00E7110D" w:rsidRDefault="002A75D1" w:rsidP="00AF55E5">
            <w:pPr>
              <w:spacing w:before="0" w:after="0" w:line="240" w:lineRule="auto"/>
              <w:jc w:val="left"/>
              <w:rPr>
                <w:rFonts w:ascii="Garamond" w:hAnsi="Garamond"/>
                <w:sz w:val="20"/>
                <w:szCs w:val="20"/>
              </w:rPr>
            </w:pPr>
            <w:r w:rsidRPr="00E7110D">
              <w:rPr>
                <w:rFonts w:ascii="Garamond" w:hAnsi="Garamond"/>
                <w:sz w:val="20"/>
                <w:szCs w:val="20"/>
              </w:rPr>
              <w:t>Operation of established accommodation, restaurant, or retail facility</w:t>
            </w:r>
            <w:r w:rsidR="003C537F" w:rsidRPr="00E7110D">
              <w:rPr>
                <w:rFonts w:ascii="Garamond" w:hAnsi="Garamond"/>
                <w:sz w:val="20"/>
                <w:szCs w:val="20"/>
              </w:rPr>
              <w:t xml:space="preserve"> (e.g. </w:t>
            </w:r>
            <w:r w:rsidR="00AF55E5" w:rsidRPr="00E7110D">
              <w:rPr>
                <w:rFonts w:ascii="Garamond" w:hAnsi="Garamond"/>
                <w:sz w:val="20"/>
                <w:szCs w:val="20"/>
              </w:rPr>
              <w:t>Witsieshoek Mountain Lodge</w:t>
            </w:r>
            <w:r w:rsidR="003C537F" w:rsidRPr="00E7110D">
              <w:rPr>
                <w:rFonts w:ascii="Garamond" w:hAnsi="Garamond"/>
                <w:sz w:val="20"/>
                <w:szCs w:val="20"/>
              </w:rPr>
              <w:t xml:space="preserve"> in </w:t>
            </w:r>
            <w:r w:rsidR="00AF55E5" w:rsidRPr="00E7110D">
              <w:rPr>
                <w:rFonts w:ascii="Garamond" w:hAnsi="Garamond"/>
                <w:sz w:val="20"/>
                <w:szCs w:val="20"/>
              </w:rPr>
              <w:t>Maloti-Drake</w:t>
            </w:r>
            <w:r w:rsidR="004B5612">
              <w:rPr>
                <w:rFonts w:ascii="Garamond" w:hAnsi="Garamond"/>
                <w:sz w:val="20"/>
                <w:szCs w:val="20"/>
              </w:rPr>
              <w:t>n</w:t>
            </w:r>
            <w:r w:rsidR="00AF55E5" w:rsidRPr="00E7110D">
              <w:rPr>
                <w:rFonts w:ascii="Garamond" w:hAnsi="Garamond"/>
                <w:sz w:val="20"/>
                <w:szCs w:val="20"/>
              </w:rPr>
              <w:t xml:space="preserve">sberg </w:t>
            </w:r>
            <w:r w:rsidR="003C537F" w:rsidRPr="00E7110D">
              <w:rPr>
                <w:rFonts w:ascii="Garamond" w:hAnsi="Garamond"/>
                <w:sz w:val="20"/>
                <w:szCs w:val="20"/>
              </w:rPr>
              <w:t xml:space="preserve">TFCA) </w:t>
            </w:r>
          </w:p>
        </w:tc>
      </w:tr>
      <w:tr w:rsidR="003C537F" w:rsidRPr="00E7110D" w14:paraId="3A0CB899" w14:textId="77777777" w:rsidTr="004B5612">
        <w:tc>
          <w:tcPr>
            <w:tcW w:w="1384" w:type="dxa"/>
          </w:tcPr>
          <w:p w14:paraId="325A6D92" w14:textId="47912367" w:rsidR="003C537F" w:rsidRPr="00E7110D" w:rsidRDefault="00675D8D" w:rsidP="002A75D1">
            <w:pPr>
              <w:spacing w:before="0" w:after="0" w:line="240" w:lineRule="auto"/>
              <w:jc w:val="left"/>
              <w:rPr>
                <w:rFonts w:ascii="Garamond" w:hAnsi="Garamond"/>
                <w:sz w:val="20"/>
                <w:szCs w:val="20"/>
              </w:rPr>
            </w:pPr>
            <w:r>
              <w:rPr>
                <w:rFonts w:ascii="Garamond" w:hAnsi="Garamond"/>
                <w:sz w:val="20"/>
                <w:szCs w:val="20"/>
              </w:rPr>
              <w:t>Pure c</w:t>
            </w:r>
            <w:r w:rsidR="003C537F" w:rsidRPr="00E7110D">
              <w:rPr>
                <w:rFonts w:ascii="Garamond" w:hAnsi="Garamond"/>
                <w:sz w:val="20"/>
                <w:szCs w:val="20"/>
              </w:rPr>
              <w:t>oncession</w:t>
            </w:r>
            <w:r w:rsidR="004B5612">
              <w:rPr>
                <w:rFonts w:ascii="Garamond" w:hAnsi="Garamond"/>
                <w:sz w:val="20"/>
                <w:szCs w:val="20"/>
              </w:rPr>
              <w:t xml:space="preserve"> or Public Private Partnership</w:t>
            </w:r>
          </w:p>
        </w:tc>
        <w:tc>
          <w:tcPr>
            <w:tcW w:w="2410" w:type="dxa"/>
          </w:tcPr>
          <w:p w14:paraId="522A384E" w14:textId="082FB041" w:rsidR="003C537F"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 xml:space="preserve">Options include Build Operate and Transfers (BOTs) and Rehabilitate-Operate-Transfers (ROTs). </w:t>
            </w:r>
          </w:p>
        </w:tc>
        <w:tc>
          <w:tcPr>
            <w:tcW w:w="992" w:type="dxa"/>
          </w:tcPr>
          <w:p w14:paraId="38BEE001" w14:textId="2503AA8D" w:rsidR="003C537F" w:rsidRPr="00E7110D" w:rsidRDefault="00AF55E5" w:rsidP="002A75D1">
            <w:pPr>
              <w:spacing w:before="0" w:after="0" w:line="240" w:lineRule="auto"/>
              <w:jc w:val="left"/>
              <w:rPr>
                <w:rFonts w:ascii="Garamond" w:hAnsi="Garamond"/>
                <w:sz w:val="20"/>
                <w:szCs w:val="20"/>
              </w:rPr>
            </w:pPr>
            <w:r w:rsidRPr="00E7110D">
              <w:rPr>
                <w:rFonts w:ascii="Garamond" w:hAnsi="Garamond"/>
                <w:sz w:val="20"/>
                <w:szCs w:val="20"/>
              </w:rPr>
              <w:t>15-30 years</w:t>
            </w:r>
          </w:p>
        </w:tc>
        <w:tc>
          <w:tcPr>
            <w:tcW w:w="2410" w:type="dxa"/>
          </w:tcPr>
          <w:p w14:paraId="0DA44DC6" w14:textId="02A6AAB0" w:rsidR="003C537F" w:rsidRPr="00E7110D" w:rsidRDefault="004B5612" w:rsidP="003C537F">
            <w:pPr>
              <w:spacing w:before="0" w:after="0" w:line="240" w:lineRule="auto"/>
              <w:jc w:val="left"/>
              <w:rPr>
                <w:rFonts w:ascii="Garamond" w:hAnsi="Garamond"/>
                <w:b/>
                <w:sz w:val="20"/>
                <w:szCs w:val="20"/>
              </w:rPr>
            </w:pPr>
            <w:r>
              <w:rPr>
                <w:rFonts w:ascii="Garamond" w:hAnsi="Garamond"/>
                <w:b/>
                <w:sz w:val="20"/>
                <w:szCs w:val="20"/>
              </w:rPr>
              <w:t>Concessionaire/ Authority</w:t>
            </w:r>
            <w:r w:rsidR="003C537F" w:rsidRPr="00E7110D">
              <w:rPr>
                <w:rFonts w:ascii="Garamond" w:hAnsi="Garamond"/>
                <w:b/>
                <w:sz w:val="20"/>
                <w:szCs w:val="20"/>
              </w:rPr>
              <w:t xml:space="preserve">: </w:t>
            </w:r>
            <w:r w:rsidR="003C537F" w:rsidRPr="00E7110D">
              <w:rPr>
                <w:rFonts w:ascii="Garamond" w:hAnsi="Garamond"/>
                <w:sz w:val="20"/>
                <w:szCs w:val="20"/>
              </w:rPr>
              <w:t>Concessionaire investments, and the operating and investment risks are substantially transferred to the concessionaire</w:t>
            </w:r>
            <w:r>
              <w:rPr>
                <w:rFonts w:ascii="Garamond" w:hAnsi="Garamond"/>
                <w:sz w:val="20"/>
                <w:szCs w:val="20"/>
              </w:rPr>
              <w:t xml:space="preserve">. Assets are transferred back to the authority at the end of the agreement. </w:t>
            </w:r>
          </w:p>
        </w:tc>
        <w:tc>
          <w:tcPr>
            <w:tcW w:w="2046" w:type="dxa"/>
          </w:tcPr>
          <w:p w14:paraId="73485C60" w14:textId="18B29DF8" w:rsidR="003C537F" w:rsidRPr="00E7110D" w:rsidRDefault="00AF55E5" w:rsidP="002A75D1">
            <w:pPr>
              <w:spacing w:before="0" w:after="0" w:line="240" w:lineRule="auto"/>
              <w:jc w:val="left"/>
              <w:rPr>
                <w:rFonts w:ascii="Garamond" w:hAnsi="Garamond"/>
                <w:sz w:val="20"/>
                <w:szCs w:val="20"/>
              </w:rPr>
            </w:pPr>
            <w:r w:rsidRPr="00E7110D">
              <w:rPr>
                <w:rFonts w:ascii="Garamond" w:hAnsi="Garamond"/>
                <w:sz w:val="20"/>
                <w:szCs w:val="20"/>
              </w:rPr>
              <w:t>C</w:t>
            </w:r>
            <w:r w:rsidR="003C537F" w:rsidRPr="00E7110D">
              <w:rPr>
                <w:rFonts w:ascii="Garamond" w:hAnsi="Garamond"/>
                <w:sz w:val="20"/>
                <w:szCs w:val="20"/>
              </w:rPr>
              <w:t xml:space="preserve">onstruction </w:t>
            </w:r>
            <w:r w:rsidRPr="00E7110D">
              <w:rPr>
                <w:rFonts w:ascii="Garamond" w:hAnsi="Garamond"/>
                <w:sz w:val="20"/>
                <w:szCs w:val="20"/>
              </w:rPr>
              <w:t xml:space="preserve">(or rehabilitation) </w:t>
            </w:r>
            <w:r w:rsidR="003C537F" w:rsidRPr="00E7110D">
              <w:rPr>
                <w:rFonts w:ascii="Garamond" w:hAnsi="Garamond"/>
                <w:sz w:val="20"/>
                <w:szCs w:val="20"/>
              </w:rPr>
              <w:t xml:space="preserve">and operation of </w:t>
            </w:r>
            <w:r w:rsidRPr="00E7110D">
              <w:rPr>
                <w:rFonts w:ascii="Garamond" w:hAnsi="Garamond"/>
                <w:sz w:val="20"/>
                <w:szCs w:val="20"/>
              </w:rPr>
              <w:t xml:space="preserve">facility, such as </w:t>
            </w:r>
            <w:r w:rsidR="003C537F" w:rsidRPr="00E7110D">
              <w:rPr>
                <w:rFonts w:ascii="Garamond" w:hAnsi="Garamond"/>
                <w:sz w:val="20"/>
                <w:szCs w:val="20"/>
              </w:rPr>
              <w:t>accommodation</w:t>
            </w:r>
            <w:r w:rsidRPr="00E7110D">
              <w:rPr>
                <w:rFonts w:ascii="Garamond" w:hAnsi="Garamond"/>
                <w:sz w:val="20"/>
                <w:szCs w:val="20"/>
              </w:rPr>
              <w:t xml:space="preserve"> (e.g. Singita Lebombo in Kruger National Park (GLTFCA)</w:t>
            </w:r>
          </w:p>
        </w:tc>
      </w:tr>
    </w:tbl>
    <w:p w14:paraId="790A714C" w14:textId="77777777" w:rsidR="007C22E8" w:rsidRDefault="007C22E8" w:rsidP="007C22E8">
      <w:pPr>
        <w:spacing w:before="0" w:after="0" w:line="240" w:lineRule="auto"/>
        <w:rPr>
          <w:rFonts w:ascii="Garamond" w:hAnsi="Garamond"/>
        </w:rPr>
      </w:pPr>
    </w:p>
    <w:p w14:paraId="07F34303" w14:textId="7F19B58D" w:rsidR="007C22E8" w:rsidRDefault="007F534A" w:rsidP="007C22E8">
      <w:pPr>
        <w:spacing w:before="0" w:after="0" w:line="240" w:lineRule="auto"/>
        <w:rPr>
          <w:rFonts w:ascii="Garamond" w:hAnsi="Garamond"/>
        </w:rPr>
      </w:pPr>
      <w:r>
        <w:rPr>
          <w:rFonts w:ascii="Garamond" w:hAnsi="Garamond"/>
        </w:rPr>
        <w:t>In deciding which type of concession model to use, the authority should consider:</w:t>
      </w:r>
    </w:p>
    <w:p w14:paraId="003EAA59" w14:textId="77777777" w:rsidR="007F534A" w:rsidRDefault="007F534A" w:rsidP="007C22E8">
      <w:pPr>
        <w:spacing w:before="0" w:after="0" w:line="240" w:lineRule="auto"/>
        <w:rPr>
          <w:rFonts w:ascii="Garamond" w:hAnsi="Garamond"/>
        </w:rPr>
      </w:pPr>
    </w:p>
    <w:p w14:paraId="6A39EF96" w14:textId="77777777" w:rsidR="00D27F26" w:rsidRDefault="007F534A" w:rsidP="00F47607">
      <w:pPr>
        <w:pStyle w:val="ListParagraph"/>
        <w:numPr>
          <w:ilvl w:val="0"/>
          <w:numId w:val="10"/>
        </w:numPr>
        <w:spacing w:before="0" w:after="0" w:line="240" w:lineRule="auto"/>
        <w:rPr>
          <w:rFonts w:ascii="Garamond" w:hAnsi="Garamond"/>
        </w:rPr>
      </w:pPr>
      <w:r w:rsidRPr="000E71E7">
        <w:rPr>
          <w:rFonts w:ascii="Garamond" w:hAnsi="Garamond"/>
        </w:rPr>
        <w:t xml:space="preserve">How </w:t>
      </w:r>
      <w:r w:rsidRPr="000E71E7">
        <w:rPr>
          <w:rFonts w:ascii="Garamond" w:hAnsi="Garamond"/>
          <w:b/>
        </w:rPr>
        <w:t>investment and operating risk</w:t>
      </w:r>
      <w:r w:rsidRPr="000E71E7">
        <w:rPr>
          <w:rFonts w:ascii="Garamond" w:hAnsi="Garamond"/>
        </w:rPr>
        <w:t xml:space="preserve"> should be shared between the authority and conce</w:t>
      </w:r>
      <w:r w:rsidR="000E71E7" w:rsidRPr="000E71E7">
        <w:rPr>
          <w:rFonts w:ascii="Garamond" w:hAnsi="Garamond"/>
        </w:rPr>
        <w:t>ssionaire, depending on the level of risk the authority wishes to transfer.</w:t>
      </w:r>
    </w:p>
    <w:p w14:paraId="648E1F5C" w14:textId="56C56D69" w:rsidR="009823B2" w:rsidRPr="00D27F26" w:rsidRDefault="009823B2" w:rsidP="00F47607">
      <w:pPr>
        <w:pStyle w:val="ListParagraph"/>
        <w:numPr>
          <w:ilvl w:val="0"/>
          <w:numId w:val="10"/>
        </w:numPr>
        <w:spacing w:before="0" w:after="0" w:line="240" w:lineRule="auto"/>
        <w:rPr>
          <w:rFonts w:ascii="Garamond" w:hAnsi="Garamond"/>
        </w:rPr>
      </w:pPr>
      <w:r w:rsidRPr="00D27F26">
        <w:rPr>
          <w:rFonts w:ascii="Garamond" w:hAnsi="Garamond"/>
        </w:rPr>
        <w:t xml:space="preserve">The </w:t>
      </w:r>
      <w:r w:rsidRPr="00D27F26">
        <w:rPr>
          <w:rFonts w:ascii="Garamond" w:hAnsi="Garamond"/>
          <w:b/>
        </w:rPr>
        <w:t>financial feasibility,</w:t>
      </w:r>
      <w:r w:rsidRPr="00D27F26">
        <w:rPr>
          <w:rFonts w:ascii="Garamond" w:hAnsi="Garamond"/>
        </w:rPr>
        <w:t xml:space="preserve"> including the cost-effectiveness of the process, </w:t>
      </w:r>
      <w:r w:rsidR="00D27F26" w:rsidRPr="00D27F26">
        <w:rPr>
          <w:rFonts w:ascii="Garamond" w:hAnsi="Garamond"/>
        </w:rPr>
        <w:t xml:space="preserve">the financial feasibility (including size of any incremental costs on investment, operation and maintenance), and </w:t>
      </w:r>
      <w:r w:rsidR="00D27F26" w:rsidRPr="00D27F26">
        <w:rPr>
          <w:rFonts w:ascii="Garamond" w:hAnsi="Garamond" w:cs="Times"/>
        </w:rPr>
        <w:t>demand forecasts and market structure, tariff or price assumptions, operating cost, capital cost, and funding requirements and costs (debt and equity).</w:t>
      </w:r>
      <w:r w:rsidR="00D27F26" w:rsidRPr="00D27F26">
        <w:rPr>
          <w:rStyle w:val="FootnoteReference"/>
          <w:rFonts w:ascii="Garamond" w:hAnsi="Garamond"/>
        </w:rPr>
        <w:t xml:space="preserve"> </w:t>
      </w:r>
      <w:r w:rsidR="00D27F26" w:rsidRPr="0089444D">
        <w:rPr>
          <w:rStyle w:val="FootnoteReference"/>
          <w:rFonts w:ascii="Garamond" w:hAnsi="Garamond"/>
        </w:rPr>
        <w:footnoteReference w:id="19"/>
      </w:r>
    </w:p>
    <w:p w14:paraId="57C29DE1" w14:textId="41298458" w:rsidR="007F534A" w:rsidRPr="000E71E7" w:rsidRDefault="007F534A" w:rsidP="00F47607">
      <w:pPr>
        <w:pStyle w:val="ListParagraph"/>
        <w:numPr>
          <w:ilvl w:val="0"/>
          <w:numId w:val="10"/>
        </w:numPr>
        <w:spacing w:before="0" w:after="0" w:line="240" w:lineRule="auto"/>
        <w:rPr>
          <w:rFonts w:ascii="Garamond" w:hAnsi="Garamond"/>
        </w:rPr>
      </w:pPr>
      <w:r w:rsidRPr="000E71E7">
        <w:rPr>
          <w:rFonts w:ascii="Garamond" w:hAnsi="Garamond"/>
        </w:rPr>
        <w:t xml:space="preserve">The </w:t>
      </w:r>
      <w:r w:rsidRPr="000E71E7">
        <w:rPr>
          <w:rFonts w:ascii="Garamond" w:hAnsi="Garamond"/>
          <w:b/>
        </w:rPr>
        <w:t>level of capital investment</w:t>
      </w:r>
      <w:r w:rsidRPr="000E71E7">
        <w:rPr>
          <w:rFonts w:ascii="Garamond" w:hAnsi="Garamond"/>
        </w:rPr>
        <w:t xml:space="preserve"> needed for the tourism product, and time needed to m</w:t>
      </w:r>
      <w:r w:rsidR="000E71E7" w:rsidRPr="000E71E7">
        <w:rPr>
          <w:rFonts w:ascii="Garamond" w:hAnsi="Garamond"/>
        </w:rPr>
        <w:t xml:space="preserve">ake a return on that investment: i.e. </w:t>
      </w:r>
      <w:r w:rsidR="000E71E7">
        <w:rPr>
          <w:rFonts w:ascii="Garamond" w:hAnsi="Garamond"/>
        </w:rPr>
        <w:t>i</w:t>
      </w:r>
      <w:r w:rsidR="000E71E7" w:rsidRPr="000E71E7">
        <w:rPr>
          <w:rFonts w:ascii="Garamond" w:hAnsi="Garamond"/>
        </w:rPr>
        <w:t xml:space="preserve">f infrastructure already exists, a service or lease agreement will suffice. If new facilities are required, a pure concession may be considered. </w:t>
      </w:r>
    </w:p>
    <w:p w14:paraId="5BA6A391" w14:textId="30E59C80" w:rsidR="00171353" w:rsidRDefault="000E71E7" w:rsidP="00F47607">
      <w:pPr>
        <w:pStyle w:val="ListParagraph"/>
        <w:numPr>
          <w:ilvl w:val="0"/>
          <w:numId w:val="10"/>
        </w:numPr>
        <w:spacing w:before="0" w:after="0" w:line="240" w:lineRule="auto"/>
        <w:rPr>
          <w:rFonts w:ascii="Garamond" w:hAnsi="Garamond"/>
        </w:rPr>
      </w:pPr>
      <w:r w:rsidRPr="000E71E7">
        <w:rPr>
          <w:rFonts w:ascii="Garamond" w:hAnsi="Garamond"/>
        </w:rPr>
        <w:t xml:space="preserve">Whether the </w:t>
      </w:r>
      <w:r w:rsidRPr="000E71E7">
        <w:rPr>
          <w:rFonts w:ascii="Garamond" w:hAnsi="Garamond"/>
          <w:b/>
        </w:rPr>
        <w:t>tourism product is sufficiently attractive</w:t>
      </w:r>
      <w:r w:rsidRPr="000E71E7">
        <w:rPr>
          <w:rFonts w:ascii="Garamond" w:hAnsi="Garamond"/>
        </w:rPr>
        <w:t xml:space="preserve"> to the </w:t>
      </w:r>
      <w:r>
        <w:rPr>
          <w:rFonts w:ascii="Garamond" w:hAnsi="Garamond"/>
        </w:rPr>
        <w:t xml:space="preserve">market </w:t>
      </w:r>
      <w:r w:rsidRPr="000E71E7">
        <w:rPr>
          <w:rFonts w:ascii="Garamond" w:hAnsi="Garamond"/>
        </w:rPr>
        <w:t xml:space="preserve">to be concessioned, or whether it requires an incubation period (i.e. a transboundary event operated under a management contract). </w:t>
      </w:r>
    </w:p>
    <w:p w14:paraId="73B1982A" w14:textId="2BBB95BB" w:rsidR="00171353" w:rsidRDefault="00171353" w:rsidP="00F47607">
      <w:pPr>
        <w:pStyle w:val="ListParagraph"/>
        <w:numPr>
          <w:ilvl w:val="0"/>
          <w:numId w:val="10"/>
        </w:numPr>
        <w:spacing w:before="0" w:after="0" w:line="240" w:lineRule="auto"/>
        <w:rPr>
          <w:rFonts w:ascii="Garamond" w:hAnsi="Garamond"/>
        </w:rPr>
      </w:pPr>
      <w:r>
        <w:rPr>
          <w:rFonts w:ascii="Garamond" w:hAnsi="Garamond"/>
        </w:rPr>
        <w:t xml:space="preserve">Who the </w:t>
      </w:r>
      <w:r w:rsidRPr="00171353">
        <w:rPr>
          <w:rFonts w:ascii="Garamond" w:hAnsi="Garamond"/>
          <w:b/>
        </w:rPr>
        <w:t>contracting authority</w:t>
      </w:r>
      <w:r>
        <w:rPr>
          <w:rFonts w:ascii="Garamond" w:hAnsi="Garamond"/>
        </w:rPr>
        <w:t xml:space="preserve"> would be (e.g. a particular ministry, government department, protected area authority), and what their obligations would be. </w:t>
      </w:r>
    </w:p>
    <w:p w14:paraId="54A9A6C3" w14:textId="77777777" w:rsidR="00FF2AC3" w:rsidRDefault="00FF2AC3" w:rsidP="00FF2AC3">
      <w:pPr>
        <w:spacing w:before="0" w:after="0" w:line="240" w:lineRule="auto"/>
        <w:rPr>
          <w:rFonts w:ascii="Garamond" w:hAnsi="Garamond"/>
        </w:rPr>
      </w:pPr>
    </w:p>
    <w:p w14:paraId="754BB70C" w14:textId="28A31922" w:rsidR="00FF2AC3" w:rsidRPr="00FF2AC3" w:rsidRDefault="00FF2AC3" w:rsidP="00FF2AC3">
      <w:pPr>
        <w:spacing w:before="0" w:after="0" w:line="240" w:lineRule="auto"/>
        <w:rPr>
          <w:rFonts w:ascii="Garamond" w:hAnsi="Garamond"/>
        </w:rPr>
      </w:pPr>
      <w:r>
        <w:rPr>
          <w:rFonts w:ascii="Garamond" w:hAnsi="Garamond"/>
        </w:rPr>
        <w:t>A concession period should be sufficiently long for the investor to generate a reasonable return on their investment, including their initial capital outlay and their profit.  The contract term may be negotiated between the parties in relation to the relative risk and returns.</w:t>
      </w:r>
    </w:p>
    <w:p w14:paraId="5E20816C" w14:textId="77777777" w:rsidR="00C00F2B" w:rsidRDefault="00C00F2B" w:rsidP="00C00F2B">
      <w:pPr>
        <w:spacing w:before="0" w:after="0" w:line="240" w:lineRule="auto"/>
        <w:rPr>
          <w:rFonts w:ascii="Garamond" w:hAnsi="Garamond"/>
        </w:rPr>
      </w:pPr>
    </w:p>
    <w:p w14:paraId="0F90ADB8" w14:textId="5E8B6E46" w:rsidR="00C00F2B" w:rsidRPr="00C00F2B" w:rsidRDefault="00C00F2B" w:rsidP="00C00F2B">
      <w:pPr>
        <w:spacing w:before="0" w:after="0" w:line="240" w:lineRule="auto"/>
        <w:rPr>
          <w:rFonts w:ascii="Garamond" w:hAnsi="Garamond"/>
        </w:rPr>
      </w:pPr>
      <w:r>
        <w:rPr>
          <w:rFonts w:ascii="Garamond" w:hAnsi="Garamond"/>
          <w:noProof/>
        </w:rPr>
        <w:drawing>
          <wp:inline distT="0" distB="0" distL="0" distR="0" wp14:anchorId="10E20245" wp14:editId="14CA815C">
            <wp:extent cx="2254250" cy="660400"/>
            <wp:effectExtent l="50800" t="25400" r="0" b="762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2DDE4EB" w14:textId="77777777" w:rsidR="00171353" w:rsidRDefault="00171353" w:rsidP="007C22E8">
      <w:pPr>
        <w:spacing w:before="0" w:after="0" w:line="240" w:lineRule="auto"/>
        <w:rPr>
          <w:rFonts w:ascii="Garamond" w:hAnsi="Garamond"/>
        </w:rPr>
      </w:pPr>
    </w:p>
    <w:p w14:paraId="76B2D9A9" w14:textId="648D7218" w:rsidR="002E65C5" w:rsidRDefault="002E65C5" w:rsidP="002E65C5">
      <w:pPr>
        <w:pStyle w:val="Heading3"/>
        <w:rPr>
          <w:rFonts w:ascii="Garamond" w:hAnsi="Garamond"/>
        </w:rPr>
      </w:pPr>
      <w:bookmarkStart w:id="38" w:name="_Ref268855949"/>
      <w:bookmarkStart w:id="39" w:name="_Toc269636334"/>
      <w:r>
        <w:rPr>
          <w:rFonts w:ascii="Garamond" w:hAnsi="Garamond"/>
        </w:rPr>
        <w:t>Development impact</w:t>
      </w:r>
      <w:bookmarkEnd w:id="38"/>
      <w:bookmarkEnd w:id="39"/>
    </w:p>
    <w:p w14:paraId="0E6D1307" w14:textId="77777777" w:rsidR="006E7D6E" w:rsidRDefault="006E7D6E" w:rsidP="006E7D6E">
      <w:pPr>
        <w:spacing w:before="0" w:after="0" w:line="240" w:lineRule="auto"/>
        <w:rPr>
          <w:rFonts w:ascii="Garamond" w:hAnsi="Garamond"/>
        </w:rPr>
      </w:pPr>
    </w:p>
    <w:p w14:paraId="555E7AA4" w14:textId="766DEAF3" w:rsidR="00D46148" w:rsidRDefault="00D46148" w:rsidP="006E7D6E">
      <w:pPr>
        <w:spacing w:before="0" w:after="0" w:line="240" w:lineRule="auto"/>
        <w:rPr>
          <w:rFonts w:ascii="Garamond" w:hAnsi="Garamond"/>
        </w:rPr>
      </w:pPr>
      <w:r w:rsidRPr="009A640E">
        <w:rPr>
          <w:rFonts w:ascii="Garamond" w:hAnsi="Garamond"/>
        </w:rPr>
        <w:t xml:space="preserve">Development impact relates to the </w:t>
      </w:r>
      <w:r w:rsidR="00C01CFE" w:rsidRPr="009A640E">
        <w:rPr>
          <w:rFonts w:ascii="Garamond" w:hAnsi="Garamond"/>
        </w:rPr>
        <w:t>effect</w:t>
      </w:r>
      <w:r w:rsidRPr="009A640E">
        <w:rPr>
          <w:rFonts w:ascii="Garamond" w:hAnsi="Garamond"/>
        </w:rPr>
        <w:t xml:space="preserve"> that the concessioning will have on local communities, including benefits and costs. </w:t>
      </w:r>
      <w:r w:rsidR="00C01CFE" w:rsidRPr="009A640E">
        <w:rPr>
          <w:rFonts w:ascii="Garamond" w:hAnsi="Garamond"/>
        </w:rPr>
        <w:t xml:space="preserve">  Local communities are key stakeholders who may be living within a TFCA, using its</w:t>
      </w:r>
      <w:r w:rsidR="00C01CFE">
        <w:rPr>
          <w:rFonts w:ascii="Garamond" w:hAnsi="Garamond"/>
        </w:rPr>
        <w:t xml:space="preserve"> natural and cultural resources</w:t>
      </w:r>
      <w:r w:rsidR="00C93CFB">
        <w:rPr>
          <w:rFonts w:ascii="Garamond" w:hAnsi="Garamond"/>
        </w:rPr>
        <w:t xml:space="preserve"> for their livelihoods</w:t>
      </w:r>
      <w:r w:rsidR="00C01CFE">
        <w:rPr>
          <w:rFonts w:ascii="Garamond" w:hAnsi="Garamond"/>
        </w:rPr>
        <w:t xml:space="preserve">.  Tourism concession planning should include </w:t>
      </w:r>
      <w:r w:rsidR="00C01CFE">
        <w:rPr>
          <w:rFonts w:ascii="Garamond" w:hAnsi="Garamond"/>
        </w:rPr>
        <w:lastRenderedPageBreak/>
        <w:t>strategies to maximise the net positives impacts in relation to livelihoods, assets, and the institutional environment.</w:t>
      </w:r>
      <w:r w:rsidR="00C01CFE" w:rsidRPr="00C01CFE">
        <w:rPr>
          <w:rStyle w:val="FootnoteReference"/>
          <w:rFonts w:ascii="Garamond" w:hAnsi="Garamond"/>
        </w:rPr>
        <w:t xml:space="preserve"> </w:t>
      </w:r>
      <w:r w:rsidR="00C01CFE">
        <w:rPr>
          <w:rStyle w:val="FootnoteReference"/>
          <w:rFonts w:ascii="Garamond" w:hAnsi="Garamond"/>
        </w:rPr>
        <w:footnoteReference w:id="20"/>
      </w:r>
      <w:r w:rsidR="00C01CFE">
        <w:rPr>
          <w:rFonts w:ascii="Garamond" w:hAnsi="Garamond"/>
        </w:rPr>
        <w:t xml:space="preserve"> </w:t>
      </w:r>
      <w:r w:rsidR="009A640E">
        <w:rPr>
          <w:rFonts w:ascii="Garamond" w:hAnsi="Garamond"/>
        </w:rPr>
        <w:t xml:space="preserve"> Neglecting development impacts may lead to conflict </w:t>
      </w:r>
      <w:r w:rsidR="00C93CFB">
        <w:rPr>
          <w:rFonts w:ascii="Garamond" w:hAnsi="Garamond"/>
        </w:rPr>
        <w:t>between</w:t>
      </w:r>
      <w:r w:rsidR="009A640E">
        <w:rPr>
          <w:rFonts w:ascii="Garamond" w:hAnsi="Garamond"/>
        </w:rPr>
        <w:t xml:space="preserve"> concessionaires, tourists, and</w:t>
      </w:r>
      <w:r w:rsidR="00C93CFB">
        <w:rPr>
          <w:rFonts w:ascii="Garamond" w:hAnsi="Garamond"/>
        </w:rPr>
        <w:t xml:space="preserve"> also</w:t>
      </w:r>
      <w:r w:rsidR="009A640E">
        <w:rPr>
          <w:rFonts w:ascii="Garamond" w:hAnsi="Garamond"/>
        </w:rPr>
        <w:t xml:space="preserve"> unsustainable use of wildlife and other natural resources. </w:t>
      </w:r>
      <w:r w:rsidR="00C74C5A">
        <w:rPr>
          <w:rFonts w:ascii="Garamond" w:hAnsi="Garamond"/>
        </w:rPr>
        <w:t xml:space="preserve"> </w:t>
      </w:r>
    </w:p>
    <w:p w14:paraId="097F9C88" w14:textId="77777777" w:rsidR="006E7D6E" w:rsidRPr="009A640E" w:rsidRDefault="006E7D6E" w:rsidP="006E7D6E">
      <w:pPr>
        <w:spacing w:before="0" w:after="0" w:line="240" w:lineRule="auto"/>
        <w:rPr>
          <w:rFonts w:ascii="Garamond" w:hAnsi="Garamond"/>
        </w:rPr>
      </w:pPr>
    </w:p>
    <w:p w14:paraId="2CC8473C" w14:textId="071D531F" w:rsidR="00DB485F" w:rsidRDefault="00C93CFB" w:rsidP="00DB485F">
      <w:pPr>
        <w:spacing w:before="0" w:after="0" w:line="240" w:lineRule="auto"/>
        <w:rPr>
          <w:rFonts w:ascii="Garamond" w:hAnsi="Garamond"/>
        </w:rPr>
      </w:pPr>
      <w:r>
        <w:rPr>
          <w:rFonts w:ascii="Garamond" w:hAnsi="Garamond"/>
        </w:rPr>
        <w:t xml:space="preserve">One way that communities can benefits is through ownership of concession enterprises. </w:t>
      </w:r>
      <w:r w:rsidR="00DB485F">
        <w:rPr>
          <w:rFonts w:ascii="Garamond" w:hAnsi="Garamond"/>
        </w:rPr>
        <w:t xml:space="preserve">The extent of local involvement often has implications for how the operation approaches local economic and community development.  Equity options include: </w:t>
      </w:r>
    </w:p>
    <w:p w14:paraId="1A61827F" w14:textId="77777777" w:rsidR="00DB485F" w:rsidRPr="00A9324B" w:rsidRDefault="00DB485F" w:rsidP="00DB485F">
      <w:pPr>
        <w:spacing w:before="0" w:after="0" w:line="240" w:lineRule="auto"/>
        <w:rPr>
          <w:rFonts w:ascii="Garamond" w:hAnsi="Garamond"/>
        </w:rPr>
      </w:pPr>
    </w:p>
    <w:p w14:paraId="778A9733" w14:textId="64D7C634" w:rsidR="00DB485F" w:rsidRDefault="00DB485F" w:rsidP="00F47607">
      <w:pPr>
        <w:pStyle w:val="ListParagraph"/>
        <w:numPr>
          <w:ilvl w:val="0"/>
          <w:numId w:val="9"/>
        </w:numPr>
        <w:spacing w:before="0" w:after="0" w:line="240" w:lineRule="auto"/>
        <w:jc w:val="left"/>
        <w:rPr>
          <w:rFonts w:ascii="Garamond" w:hAnsi="Garamond"/>
        </w:rPr>
      </w:pPr>
      <w:r>
        <w:rPr>
          <w:rFonts w:ascii="Garamond" w:hAnsi="Garamond"/>
        </w:rPr>
        <w:t xml:space="preserve">Community-based </w:t>
      </w:r>
      <w:r w:rsidRPr="00351A05">
        <w:rPr>
          <w:rFonts w:ascii="Garamond" w:hAnsi="Garamond"/>
        </w:rPr>
        <w:t>enterprise</w:t>
      </w:r>
      <w:r>
        <w:rPr>
          <w:rFonts w:ascii="Garamond" w:hAnsi="Garamond"/>
        </w:rPr>
        <w:t>s (100% community owned) (e.g. Ahi Zameni, Lubombo TFCA</w:t>
      </w:r>
      <w:r w:rsidR="00C93CFB">
        <w:rPr>
          <w:rFonts w:ascii="Garamond" w:hAnsi="Garamond"/>
        </w:rPr>
        <w:t xml:space="preserve">: see </w:t>
      </w:r>
      <w:r w:rsidR="00C93CFB" w:rsidRPr="00C93CFB">
        <w:rPr>
          <w:rFonts w:ascii="Garamond" w:hAnsi="Garamond"/>
        </w:rPr>
        <w:fldChar w:fldCharType="begin"/>
      </w:r>
      <w:r w:rsidR="00C93CFB" w:rsidRPr="00C93CFB">
        <w:rPr>
          <w:rFonts w:ascii="Garamond" w:hAnsi="Garamond"/>
        </w:rPr>
        <w:instrText xml:space="preserve"> REF _Ref269375693 \h </w:instrText>
      </w:r>
      <w:r w:rsidR="00C93CFB" w:rsidRPr="00C93CFB">
        <w:rPr>
          <w:rFonts w:ascii="Garamond" w:hAnsi="Garamond"/>
        </w:rPr>
      </w:r>
      <w:r w:rsidR="00C93CFB" w:rsidRPr="00C93CFB">
        <w:rPr>
          <w:rFonts w:ascii="Garamond" w:hAnsi="Garamond"/>
        </w:rPr>
        <w:fldChar w:fldCharType="separate"/>
      </w:r>
      <w:r w:rsidR="00C93CFB" w:rsidRPr="00C93CFB">
        <w:rPr>
          <w:rFonts w:ascii="Garamond" w:hAnsi="Garamond"/>
        </w:rPr>
        <w:t xml:space="preserve">Box </w:t>
      </w:r>
      <w:r w:rsidR="00C93CFB" w:rsidRPr="00C93CFB">
        <w:rPr>
          <w:rFonts w:ascii="Garamond" w:hAnsi="Garamond"/>
          <w:noProof/>
        </w:rPr>
        <w:t>4</w:t>
      </w:r>
      <w:r w:rsidR="00C93CFB" w:rsidRPr="00C93CFB">
        <w:rPr>
          <w:rFonts w:ascii="Garamond" w:hAnsi="Garamond"/>
        </w:rPr>
        <w:fldChar w:fldCharType="end"/>
      </w:r>
      <w:r w:rsidRPr="00C93CFB">
        <w:rPr>
          <w:rFonts w:ascii="Garamond" w:hAnsi="Garamond"/>
        </w:rPr>
        <w:t>)</w:t>
      </w:r>
    </w:p>
    <w:p w14:paraId="5C2D22C2" w14:textId="77777777" w:rsidR="00DB485F" w:rsidRPr="00351A05" w:rsidRDefault="00DB485F" w:rsidP="00F47607">
      <w:pPr>
        <w:pStyle w:val="ListParagraph"/>
        <w:numPr>
          <w:ilvl w:val="0"/>
          <w:numId w:val="9"/>
        </w:numPr>
        <w:spacing w:before="0" w:after="0" w:line="240" w:lineRule="auto"/>
        <w:jc w:val="left"/>
        <w:rPr>
          <w:rFonts w:ascii="Garamond" w:hAnsi="Garamond"/>
        </w:rPr>
      </w:pPr>
      <w:r>
        <w:rPr>
          <w:rFonts w:ascii="Garamond" w:hAnsi="Garamond"/>
        </w:rPr>
        <w:t>Joint-ventures (X% private; Y% community based enterprise) (e.g. Rocktail Beach Lodge, Ponto do Ouro Kosi Bay Marine TFCA)</w:t>
      </w:r>
    </w:p>
    <w:p w14:paraId="546F272B" w14:textId="77777777" w:rsidR="00DB485F" w:rsidRPr="00047E52" w:rsidRDefault="00DB485F" w:rsidP="00F47607">
      <w:pPr>
        <w:pStyle w:val="ListParagraph"/>
        <w:numPr>
          <w:ilvl w:val="0"/>
          <w:numId w:val="9"/>
        </w:numPr>
        <w:spacing w:before="0" w:after="0" w:line="240" w:lineRule="auto"/>
        <w:jc w:val="left"/>
        <w:rPr>
          <w:rFonts w:ascii="Garamond" w:hAnsi="Garamond"/>
        </w:rPr>
      </w:pPr>
      <w:r w:rsidRPr="00351A05">
        <w:rPr>
          <w:rFonts w:ascii="Garamond" w:hAnsi="Garamond"/>
        </w:rPr>
        <w:t>Private sector enterprise</w:t>
      </w:r>
      <w:r>
        <w:rPr>
          <w:rFonts w:ascii="Garamond" w:hAnsi="Garamond"/>
        </w:rPr>
        <w:t>s (100% private) (e.g. Jock of the Bushveld, Great Limpopo TFCA)</w:t>
      </w:r>
    </w:p>
    <w:p w14:paraId="44D0C179" w14:textId="77777777" w:rsidR="00DB485F" w:rsidRDefault="00DB485F" w:rsidP="00DB485F">
      <w:pPr>
        <w:pStyle w:val="ListParagraph"/>
        <w:spacing w:before="0" w:after="0" w:line="240" w:lineRule="auto"/>
        <w:jc w:val="left"/>
        <w:rPr>
          <w:rFonts w:ascii="Garamond" w:hAnsi="Garamond"/>
        </w:rPr>
      </w:pPr>
    </w:p>
    <w:p w14:paraId="4A8B3DA1" w14:textId="77777777" w:rsidR="00C93CFB" w:rsidRDefault="00C93CFB" w:rsidP="00C93CFB">
      <w:pPr>
        <w:spacing w:before="0" w:after="0" w:line="240" w:lineRule="auto"/>
        <w:rPr>
          <w:rFonts w:ascii="Garamond" w:hAnsi="Garamond"/>
        </w:rPr>
      </w:pPr>
      <w:bookmarkStart w:id="40" w:name="_Ref269375693"/>
      <w:bookmarkStart w:id="41" w:name="_Toc269636038"/>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4</w:t>
      </w:r>
      <w:r w:rsidRPr="00506C12">
        <w:rPr>
          <w:rFonts w:ascii="Garamond" w:hAnsi="Garamond"/>
          <w:b/>
        </w:rPr>
        <w:fldChar w:fldCharType="end"/>
      </w:r>
      <w:bookmarkEnd w:id="40"/>
      <w:r>
        <w:rPr>
          <w:rFonts w:ascii="Garamond" w:hAnsi="Garamond"/>
          <w:b/>
        </w:rPr>
        <w:t>: Chemucane Lodge: a joint-venture concession in the Maputo Special Reserve, Lubombo TFCA</w:t>
      </w:r>
      <w:r>
        <w:rPr>
          <w:rStyle w:val="FootnoteReference"/>
          <w:rFonts w:ascii="Garamond" w:hAnsi="Garamond"/>
          <w:b/>
        </w:rPr>
        <w:footnoteReference w:id="21"/>
      </w:r>
      <w:bookmarkEnd w:id="41"/>
    </w:p>
    <w:tbl>
      <w:tblPr>
        <w:tblStyle w:val="TableGrid"/>
        <w:tblW w:w="0" w:type="auto"/>
        <w:tblLook w:val="04A0" w:firstRow="1" w:lastRow="0" w:firstColumn="1" w:lastColumn="0" w:noHBand="0" w:noVBand="1"/>
      </w:tblPr>
      <w:tblGrid>
        <w:gridCol w:w="9242"/>
      </w:tblGrid>
      <w:tr w:rsidR="00C93CFB" w14:paraId="4E057175" w14:textId="77777777" w:rsidTr="000561B5">
        <w:tc>
          <w:tcPr>
            <w:tcW w:w="9242" w:type="dxa"/>
          </w:tcPr>
          <w:p w14:paraId="5AC81384" w14:textId="77777777" w:rsidR="00C93CFB" w:rsidRDefault="00C93CFB" w:rsidP="000561B5">
            <w:pPr>
              <w:spacing w:before="0" w:after="0" w:line="240" w:lineRule="auto"/>
              <w:jc w:val="left"/>
              <w:rPr>
                <w:rFonts w:ascii="Garamond" w:hAnsi="Garamond"/>
                <w:highlight w:val="yellow"/>
              </w:rPr>
            </w:pPr>
          </w:p>
          <w:p w14:paraId="48A19A7A" w14:textId="67905D08" w:rsidR="00C93CFB" w:rsidRPr="00897208" w:rsidRDefault="00C93CFB" w:rsidP="000561B5">
            <w:pPr>
              <w:spacing w:before="0" w:after="0" w:line="240" w:lineRule="auto"/>
              <w:jc w:val="left"/>
              <w:rPr>
                <w:rFonts w:ascii="Garamond" w:hAnsi="Garamond"/>
                <w:sz w:val="20"/>
                <w:szCs w:val="20"/>
                <w:highlight w:val="yellow"/>
              </w:rPr>
            </w:pPr>
            <w:r w:rsidRPr="00897208">
              <w:rPr>
                <w:rFonts w:ascii="Garamond" w:hAnsi="Garamond"/>
                <w:sz w:val="20"/>
                <w:szCs w:val="20"/>
              </w:rPr>
              <w:t xml:space="preserve">The Ministry of Tourism (MITUR) in Mozambique signed a 50 year agreement with a community association, Ahi Zameni Chemucane (AZC), for the </w:t>
            </w:r>
            <w:r>
              <w:rPr>
                <w:rFonts w:ascii="Garamond" w:hAnsi="Garamond"/>
                <w:sz w:val="20"/>
                <w:szCs w:val="20"/>
              </w:rPr>
              <w:t xml:space="preserve">810 ha </w:t>
            </w:r>
            <w:r w:rsidRPr="00897208">
              <w:rPr>
                <w:rFonts w:ascii="Garamond" w:hAnsi="Garamond"/>
                <w:sz w:val="20"/>
                <w:szCs w:val="20"/>
              </w:rPr>
              <w:t>Chemucane concession in the Maputo Special Reserve.   The AZC represents three communities, comprising about 100 families, and 1000 residents. The Bell Foundation, a private partner, formed a joint-venture company with AZC called Companhia de Tourismo de Chemucane Ltd (CTC), which has a 25 year partnership contract with AZC to develop and operate the site.  AZC holds 40% equity in CTC, which was financed by a USD500,000 grant from the Community Enterprise Fund of a World Bank/MITUR project on TFCAs</w:t>
            </w:r>
            <w:r>
              <w:rPr>
                <w:rFonts w:ascii="Garamond" w:hAnsi="Garamond"/>
                <w:sz w:val="20"/>
                <w:szCs w:val="20"/>
              </w:rPr>
              <w:t>, and a USD600,000 interest free loan from the African Safari Lodge Foundation</w:t>
            </w:r>
            <w:r w:rsidRPr="00897208">
              <w:rPr>
                <w:rFonts w:ascii="Garamond" w:hAnsi="Garamond"/>
                <w:sz w:val="20"/>
                <w:szCs w:val="20"/>
              </w:rPr>
              <w:t>. The Bell Foundation hold the remaining 60% equity. The AZC, and its member communities, benefit from a lease fee paid by CTC (USD30,000 plus 2.5% turnover, with a guaranteed amou</w:t>
            </w:r>
            <w:r w:rsidR="005458A3">
              <w:rPr>
                <w:rFonts w:ascii="Garamond" w:hAnsi="Garamond"/>
                <w:sz w:val="20"/>
                <w:szCs w:val="20"/>
              </w:rPr>
              <w:t>nt of USD15,600), and a bed lev</w:t>
            </w:r>
            <w:r w:rsidRPr="00897208">
              <w:rPr>
                <w:rFonts w:ascii="Garamond" w:hAnsi="Garamond"/>
                <w:sz w:val="20"/>
                <w:szCs w:val="20"/>
              </w:rPr>
              <w:t xml:space="preserve">y of US$6 per night.  Local salaries are estimated to be USD60,000 in the first year of operation, and social commitments of CTC include local procurement and a training and succession plan. </w:t>
            </w:r>
          </w:p>
          <w:p w14:paraId="7AB006E5" w14:textId="77777777" w:rsidR="00C93CFB" w:rsidRPr="009B35B4" w:rsidRDefault="00C93CFB" w:rsidP="000561B5">
            <w:pPr>
              <w:spacing w:before="0" w:after="0" w:line="240" w:lineRule="auto"/>
              <w:jc w:val="left"/>
              <w:rPr>
                <w:rFonts w:ascii="Garamond" w:hAnsi="Garamond"/>
              </w:rPr>
            </w:pPr>
          </w:p>
        </w:tc>
      </w:tr>
    </w:tbl>
    <w:p w14:paraId="3FEEE31A" w14:textId="77777777" w:rsidR="00C93CFB" w:rsidRPr="00C93CFB" w:rsidRDefault="00C93CFB" w:rsidP="00C93CFB">
      <w:pPr>
        <w:spacing w:before="0" w:after="0" w:line="240" w:lineRule="auto"/>
        <w:jc w:val="left"/>
        <w:rPr>
          <w:rFonts w:ascii="Garamond" w:hAnsi="Garamond"/>
        </w:rPr>
      </w:pPr>
    </w:p>
    <w:p w14:paraId="1518868D" w14:textId="59460A61" w:rsidR="00DB485F" w:rsidRDefault="00DB485F" w:rsidP="00DB485F">
      <w:pPr>
        <w:spacing w:before="0" w:after="0" w:line="240" w:lineRule="auto"/>
        <w:rPr>
          <w:rFonts w:ascii="Garamond" w:hAnsi="Garamond"/>
        </w:rPr>
      </w:pPr>
      <w:r w:rsidRPr="00CE40C5">
        <w:rPr>
          <w:rFonts w:ascii="Garamond" w:hAnsi="Garamond"/>
        </w:rPr>
        <w:t>Concessioning processes can maximize the n</w:t>
      </w:r>
      <w:r w:rsidR="007F747A">
        <w:rPr>
          <w:rFonts w:ascii="Garamond" w:hAnsi="Garamond"/>
        </w:rPr>
        <w:t>et-benefits to local people by</w:t>
      </w:r>
      <w:r w:rsidRPr="00CE40C5">
        <w:rPr>
          <w:rFonts w:ascii="Garamond" w:hAnsi="Garamond"/>
        </w:rPr>
        <w:t xml:space="preserve"> </w:t>
      </w:r>
      <w:r>
        <w:rPr>
          <w:rFonts w:ascii="Garamond" w:hAnsi="Garamond"/>
        </w:rPr>
        <w:t xml:space="preserve">encouraging bidders to include options for </w:t>
      </w:r>
      <w:r w:rsidR="007F747A">
        <w:rPr>
          <w:rFonts w:ascii="Garamond" w:hAnsi="Garamond"/>
        </w:rPr>
        <w:t>local</w:t>
      </w:r>
      <w:r>
        <w:rPr>
          <w:rFonts w:ascii="Garamond" w:hAnsi="Garamond"/>
        </w:rPr>
        <w:t xml:space="preserve"> involvement</w:t>
      </w:r>
      <w:r w:rsidR="007F747A">
        <w:rPr>
          <w:rFonts w:ascii="Garamond" w:hAnsi="Garamond"/>
        </w:rPr>
        <w:t>. In addition to equity, this can include</w:t>
      </w:r>
      <w:r w:rsidRPr="00CE40C5">
        <w:rPr>
          <w:rFonts w:ascii="Garamond" w:hAnsi="Garamond"/>
        </w:rPr>
        <w:t>:</w:t>
      </w:r>
    </w:p>
    <w:p w14:paraId="68EE88B1" w14:textId="77777777" w:rsidR="00DB485F" w:rsidRPr="00CE40C5" w:rsidRDefault="00DB485F" w:rsidP="00DB485F">
      <w:pPr>
        <w:spacing w:before="0" w:after="0" w:line="240" w:lineRule="auto"/>
        <w:rPr>
          <w:rFonts w:ascii="Garamond" w:hAnsi="Garamond"/>
        </w:rPr>
      </w:pPr>
    </w:p>
    <w:p w14:paraId="482569AB" w14:textId="6F0903BA" w:rsidR="00DB485F" w:rsidRPr="00267EE0" w:rsidRDefault="00DB485F" w:rsidP="00F47607">
      <w:pPr>
        <w:pStyle w:val="ListParagraph"/>
        <w:numPr>
          <w:ilvl w:val="0"/>
          <w:numId w:val="14"/>
        </w:numPr>
        <w:spacing w:before="0" w:after="0" w:line="240" w:lineRule="auto"/>
        <w:jc w:val="left"/>
        <w:rPr>
          <w:rFonts w:ascii="Garamond" w:hAnsi="Garamond"/>
        </w:rPr>
      </w:pPr>
      <w:r w:rsidRPr="00267EE0">
        <w:rPr>
          <w:rFonts w:ascii="Garamond" w:hAnsi="Garamond"/>
        </w:rPr>
        <w:t>Direct employment in the tourism concession business</w:t>
      </w:r>
      <w:r w:rsidR="007F747A">
        <w:rPr>
          <w:rFonts w:ascii="Garamond" w:hAnsi="Garamond"/>
        </w:rPr>
        <w:t>, including training and advancement to managerial level positions</w:t>
      </w:r>
      <w:r>
        <w:rPr>
          <w:rFonts w:ascii="Garamond" w:hAnsi="Garamond"/>
        </w:rPr>
        <w:t>;</w:t>
      </w:r>
    </w:p>
    <w:p w14:paraId="5E53B151" w14:textId="77777777" w:rsidR="00DB485F" w:rsidRDefault="00DB485F" w:rsidP="00F47607">
      <w:pPr>
        <w:pStyle w:val="ListParagraph"/>
        <w:numPr>
          <w:ilvl w:val="0"/>
          <w:numId w:val="14"/>
        </w:numPr>
        <w:spacing w:before="0" w:after="0" w:line="240" w:lineRule="auto"/>
        <w:jc w:val="left"/>
        <w:rPr>
          <w:rFonts w:ascii="Garamond" w:hAnsi="Garamond"/>
        </w:rPr>
      </w:pPr>
      <w:r w:rsidRPr="00267EE0">
        <w:rPr>
          <w:rFonts w:ascii="Garamond" w:hAnsi="Garamond"/>
        </w:rPr>
        <w:t>Supplying products and services directly to tourists (e</w:t>
      </w:r>
      <w:r>
        <w:rPr>
          <w:rFonts w:ascii="Garamond" w:hAnsi="Garamond"/>
        </w:rPr>
        <w:t>.g. g</w:t>
      </w:r>
      <w:r w:rsidRPr="00267EE0">
        <w:rPr>
          <w:rFonts w:ascii="Garamond" w:hAnsi="Garamond"/>
        </w:rPr>
        <w:t>uiding services)</w:t>
      </w:r>
      <w:r>
        <w:rPr>
          <w:rFonts w:ascii="Garamond" w:hAnsi="Garamond"/>
        </w:rPr>
        <w:t xml:space="preserve"> or the concession operators</w:t>
      </w:r>
      <w:r w:rsidRPr="00C33F22">
        <w:rPr>
          <w:rFonts w:ascii="Garamond" w:hAnsi="Garamond"/>
        </w:rPr>
        <w:t xml:space="preserve"> (e.g. maintenance, fresh produce, transport);</w:t>
      </w:r>
      <w:r>
        <w:rPr>
          <w:rFonts w:ascii="Garamond" w:hAnsi="Garamond"/>
        </w:rPr>
        <w:t xml:space="preserve"> and </w:t>
      </w:r>
    </w:p>
    <w:p w14:paraId="4BC6555B" w14:textId="77777777" w:rsidR="00DB485F" w:rsidRDefault="00DB485F" w:rsidP="00F47607">
      <w:pPr>
        <w:pStyle w:val="ListParagraph"/>
        <w:numPr>
          <w:ilvl w:val="0"/>
          <w:numId w:val="14"/>
        </w:numPr>
        <w:spacing w:before="0" w:after="0" w:line="240" w:lineRule="auto"/>
        <w:jc w:val="left"/>
        <w:rPr>
          <w:rFonts w:ascii="Garamond" w:hAnsi="Garamond"/>
        </w:rPr>
      </w:pPr>
      <w:r w:rsidRPr="00C33F22">
        <w:rPr>
          <w:rFonts w:ascii="Garamond" w:hAnsi="Garamond"/>
        </w:rPr>
        <w:t>Community development projects from philanthropy or corporate social responsibility (CSR) spending</w:t>
      </w:r>
      <w:r>
        <w:rPr>
          <w:rFonts w:ascii="Garamond" w:hAnsi="Garamond"/>
        </w:rPr>
        <w:t xml:space="preserve"> by concessionaires or their clients</w:t>
      </w:r>
      <w:r w:rsidRPr="00C33F22">
        <w:rPr>
          <w:rFonts w:ascii="Garamond" w:hAnsi="Garamond"/>
        </w:rPr>
        <w:t>.</w:t>
      </w:r>
    </w:p>
    <w:p w14:paraId="7F87F05A" w14:textId="77777777" w:rsidR="00C33F22" w:rsidRDefault="00C33F22" w:rsidP="00482045">
      <w:pPr>
        <w:spacing w:before="0" w:after="0" w:line="240" w:lineRule="auto"/>
        <w:rPr>
          <w:rFonts w:ascii="Garamond" w:hAnsi="Garamond"/>
        </w:rPr>
      </w:pPr>
    </w:p>
    <w:p w14:paraId="7E467FAE" w14:textId="7DA1D4CD" w:rsidR="00C33F22" w:rsidRDefault="005A144A" w:rsidP="00C33F22">
      <w:pPr>
        <w:spacing w:before="0" w:after="0" w:line="240" w:lineRule="auto"/>
        <w:rPr>
          <w:rFonts w:ascii="Garamond" w:hAnsi="Garamond"/>
        </w:rPr>
      </w:pPr>
      <w:r>
        <w:rPr>
          <w:rFonts w:ascii="Garamond" w:hAnsi="Garamond"/>
        </w:rPr>
        <w:t>A concessioni</w:t>
      </w:r>
      <w:r w:rsidR="00C33F22">
        <w:rPr>
          <w:rFonts w:ascii="Garamond" w:hAnsi="Garamond"/>
        </w:rPr>
        <w:t xml:space="preserve">ng authority should be aware of the different ways that positive development impacts can be encouraged, and may decide to give more weight in procurement processes </w:t>
      </w:r>
      <w:r w:rsidR="002E208B">
        <w:rPr>
          <w:rFonts w:ascii="Garamond" w:hAnsi="Garamond"/>
        </w:rPr>
        <w:t xml:space="preserve">and information provided to investors </w:t>
      </w:r>
      <w:r w:rsidR="00C33F22">
        <w:rPr>
          <w:rFonts w:ascii="Garamond" w:hAnsi="Garamond"/>
        </w:rPr>
        <w:t xml:space="preserve">to the types it would like to encourage (e.g. see </w:t>
      </w:r>
      <w:r w:rsidR="007639F0">
        <w:rPr>
          <w:rFonts w:ascii="Garamond" w:hAnsi="Garamond"/>
        </w:rPr>
        <w:t>an example</w:t>
      </w:r>
      <w:r w:rsidR="00C33F22">
        <w:rPr>
          <w:rFonts w:ascii="Garamond" w:hAnsi="Garamond"/>
        </w:rPr>
        <w:t xml:space="preserve"> South Africa below). </w:t>
      </w:r>
    </w:p>
    <w:p w14:paraId="15982D89" w14:textId="77777777" w:rsidR="00AF01DD" w:rsidRDefault="00AF01DD" w:rsidP="00AF01DD">
      <w:pPr>
        <w:spacing w:before="0" w:after="0" w:line="240" w:lineRule="auto"/>
        <w:rPr>
          <w:rFonts w:ascii="Garamond" w:hAnsi="Garamond"/>
        </w:rPr>
      </w:pPr>
    </w:p>
    <w:p w14:paraId="58266855" w14:textId="59AE4433" w:rsidR="00506C12" w:rsidRDefault="00506C12" w:rsidP="00AF01DD">
      <w:pPr>
        <w:spacing w:before="0" w:after="0" w:line="240" w:lineRule="auto"/>
        <w:rPr>
          <w:rFonts w:ascii="Garamond" w:hAnsi="Garamond"/>
        </w:rPr>
      </w:pPr>
      <w:bookmarkStart w:id="42" w:name="_Toc269636039"/>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5</w:t>
      </w:r>
      <w:r w:rsidRPr="00506C12">
        <w:rPr>
          <w:rFonts w:ascii="Garamond" w:hAnsi="Garamond"/>
          <w:b/>
        </w:rPr>
        <w:fldChar w:fldCharType="end"/>
      </w:r>
      <w:r>
        <w:rPr>
          <w:rFonts w:ascii="Garamond" w:hAnsi="Garamond"/>
          <w:b/>
        </w:rPr>
        <w:t>:</w:t>
      </w:r>
      <w:r w:rsidRPr="00506C12">
        <w:rPr>
          <w:rFonts w:ascii="Garamond" w:hAnsi="Garamond"/>
          <w:b/>
        </w:rPr>
        <w:t xml:space="preserve"> </w:t>
      </w:r>
      <w:r>
        <w:rPr>
          <w:rFonts w:ascii="Garamond" w:hAnsi="Garamond"/>
          <w:b/>
        </w:rPr>
        <w:t>Enhancing development impacts through concessioning in South Africa</w:t>
      </w:r>
      <w:bookmarkEnd w:id="42"/>
    </w:p>
    <w:tbl>
      <w:tblPr>
        <w:tblStyle w:val="TableGrid"/>
        <w:tblW w:w="0" w:type="auto"/>
        <w:tblLook w:val="04A0" w:firstRow="1" w:lastRow="0" w:firstColumn="1" w:lastColumn="0" w:noHBand="0" w:noVBand="1"/>
      </w:tblPr>
      <w:tblGrid>
        <w:gridCol w:w="9242"/>
      </w:tblGrid>
      <w:tr w:rsidR="00AF01DD" w14:paraId="4B1A7BB0" w14:textId="77777777" w:rsidTr="00AF01DD">
        <w:tc>
          <w:tcPr>
            <w:tcW w:w="9242" w:type="dxa"/>
          </w:tcPr>
          <w:p w14:paraId="0C332864" w14:textId="77777777" w:rsidR="002E208B" w:rsidRPr="009D20CF" w:rsidRDefault="002E208B" w:rsidP="006E7D6E">
            <w:pPr>
              <w:pStyle w:val="NormalWeb"/>
              <w:spacing w:after="0" w:line="240" w:lineRule="auto"/>
              <w:rPr>
                <w:rFonts w:ascii="Garamond" w:hAnsi="Garamond"/>
                <w:b/>
                <w:sz w:val="20"/>
                <w:szCs w:val="20"/>
              </w:rPr>
            </w:pPr>
          </w:p>
          <w:p w14:paraId="2018CE47" w14:textId="356E0D38" w:rsidR="00AF01DD" w:rsidRPr="009D20CF" w:rsidRDefault="002E208B" w:rsidP="006E7D6E">
            <w:pPr>
              <w:pStyle w:val="NormalWeb"/>
              <w:spacing w:after="0" w:line="240" w:lineRule="auto"/>
              <w:rPr>
                <w:rStyle w:val="FootnoteReference"/>
                <w:rFonts w:ascii="Garamond" w:hAnsi="Garamond"/>
                <w:b/>
                <w:sz w:val="20"/>
                <w:szCs w:val="20"/>
                <w:vertAlign w:val="baseline"/>
              </w:rPr>
            </w:pPr>
            <w:r w:rsidRPr="009D20CF">
              <w:rPr>
                <w:rFonts w:ascii="Garamond" w:hAnsi="Garamond"/>
                <w:sz w:val="20"/>
                <w:szCs w:val="20"/>
              </w:rPr>
              <w:t>In 2000, c</w:t>
            </w:r>
            <w:r w:rsidR="00AF01DD" w:rsidRPr="009D20CF">
              <w:rPr>
                <w:rFonts w:ascii="Garamond" w:hAnsi="Garamond"/>
                <w:sz w:val="20"/>
                <w:szCs w:val="20"/>
              </w:rPr>
              <w:t xml:space="preserve">oncession bids in Kruger National Park of the GLTFCA included ‘empowerment plans’ which received 20% of the weighting during the proposal reviews. Elements included were (1) shareholding by historically disadvantaged individuals or groups, (2) training and affirmative action in employment, and (3) business and economic opportunities for local communities. Contracts signed by successful bidders required that they provide SANParks with an annual report to quantifiably account for their empowerment activities and achievements, in relation to their bid objectives. In this regard, SANParks reserved the right to impose penalties if concessionaires </w:t>
            </w:r>
            <w:r w:rsidR="00AF01DD" w:rsidRPr="009D20CF">
              <w:rPr>
                <w:rFonts w:ascii="Garamond" w:hAnsi="Garamond"/>
                <w:sz w:val="20"/>
                <w:szCs w:val="20"/>
              </w:rPr>
              <w:lastRenderedPageBreak/>
              <w:t>failed to meet their empowerment obligations. Proposals received for accommodation concessions in Kruger National Park ranged from 7.5% to 68% shareholding from historically disadvantaged individuals.</w:t>
            </w:r>
            <w:r w:rsidR="00AF01DD" w:rsidRPr="009D20CF">
              <w:rPr>
                <w:rStyle w:val="FootnoteReference"/>
                <w:rFonts w:ascii="Garamond" w:hAnsi="Garamond"/>
                <w:sz w:val="20"/>
                <w:szCs w:val="20"/>
              </w:rPr>
              <w:t xml:space="preserve"> </w:t>
            </w:r>
            <w:r w:rsidR="00AF01DD" w:rsidRPr="009D20CF">
              <w:rPr>
                <w:rStyle w:val="FootnoteReference"/>
                <w:rFonts w:ascii="Garamond" w:hAnsi="Garamond"/>
                <w:sz w:val="20"/>
                <w:szCs w:val="20"/>
              </w:rPr>
              <w:footnoteReference w:id="22"/>
            </w:r>
          </w:p>
          <w:p w14:paraId="105FED2C" w14:textId="381BDDCD" w:rsidR="002E208B" w:rsidRPr="002E208B" w:rsidRDefault="002E208B" w:rsidP="002E208B">
            <w:pPr>
              <w:pStyle w:val="NormalWeb"/>
              <w:spacing w:after="0"/>
            </w:pPr>
          </w:p>
        </w:tc>
      </w:tr>
    </w:tbl>
    <w:p w14:paraId="74B92C33" w14:textId="18800F42" w:rsidR="00C00F2B" w:rsidRDefault="00C00F2B" w:rsidP="00C00F2B">
      <w:pPr>
        <w:spacing w:before="0" w:after="0" w:line="240" w:lineRule="auto"/>
        <w:rPr>
          <w:rFonts w:ascii="Garamond" w:hAnsi="Garamond"/>
        </w:rPr>
      </w:pPr>
    </w:p>
    <w:p w14:paraId="72CC8C60" w14:textId="03D616F8" w:rsidR="002E65C5" w:rsidRDefault="0007695C" w:rsidP="002E65C5">
      <w:r>
        <w:rPr>
          <w:rFonts w:ascii="Garamond" w:hAnsi="Garamond"/>
          <w:noProof/>
        </w:rPr>
        <w:drawing>
          <wp:inline distT="0" distB="0" distL="0" distR="0" wp14:anchorId="473BE037" wp14:editId="23862EA2">
            <wp:extent cx="2254250" cy="812800"/>
            <wp:effectExtent l="50800" t="25400" r="0" b="762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C322ED2" w14:textId="70E0EFC6" w:rsidR="002E65C5" w:rsidRDefault="002E65C5" w:rsidP="002E65C5">
      <w:pPr>
        <w:pStyle w:val="Heading3"/>
        <w:rPr>
          <w:rFonts w:ascii="Garamond" w:hAnsi="Garamond"/>
        </w:rPr>
      </w:pPr>
      <w:bookmarkStart w:id="43" w:name="_Toc269636335"/>
      <w:r>
        <w:rPr>
          <w:rFonts w:ascii="Garamond" w:hAnsi="Garamond"/>
        </w:rPr>
        <w:t>Risk</w:t>
      </w:r>
      <w:bookmarkEnd w:id="43"/>
    </w:p>
    <w:p w14:paraId="52DF1DAA" w14:textId="77777777" w:rsidR="00F361E7" w:rsidRDefault="00F361E7" w:rsidP="00F361E7">
      <w:pPr>
        <w:spacing w:before="0" w:after="0" w:line="240" w:lineRule="auto"/>
        <w:rPr>
          <w:rFonts w:ascii="Garamond" w:hAnsi="Garamond"/>
        </w:rPr>
      </w:pPr>
    </w:p>
    <w:p w14:paraId="668EAE1D" w14:textId="4EA37934" w:rsidR="004156A2" w:rsidRDefault="009D20CF" w:rsidP="00F361E7">
      <w:pPr>
        <w:spacing w:before="0" w:after="0" w:line="240" w:lineRule="auto"/>
        <w:rPr>
          <w:rFonts w:ascii="Garamond" w:hAnsi="Garamond"/>
        </w:rPr>
      </w:pPr>
      <w:r>
        <w:rPr>
          <w:rFonts w:ascii="Garamond" w:hAnsi="Garamond"/>
        </w:rPr>
        <w:t>R</w:t>
      </w:r>
      <w:r w:rsidRPr="00D74F70">
        <w:rPr>
          <w:rFonts w:ascii="Garamond" w:hAnsi="Garamond" w:cs="Verdana"/>
          <w:color w:val="262626"/>
        </w:rPr>
        <w:t xml:space="preserve">isks associated with concessions programs </w:t>
      </w:r>
      <w:r>
        <w:rPr>
          <w:rFonts w:ascii="Garamond" w:hAnsi="Garamond" w:cs="Verdana"/>
          <w:color w:val="262626"/>
        </w:rPr>
        <w:t xml:space="preserve">may be financial, political, environmental, social or external. They </w:t>
      </w:r>
      <w:r w:rsidRPr="00D74F70">
        <w:rPr>
          <w:rFonts w:ascii="Garamond" w:hAnsi="Garamond" w:cs="Verdana"/>
          <w:color w:val="262626"/>
        </w:rPr>
        <w:t>can lead to costly delays, stoppages, negative publicity, threats to the operation, and unforeseen expenditures. There can also be reputational damage to the protected area authority</w:t>
      </w:r>
      <w:r w:rsidR="004156A2">
        <w:rPr>
          <w:rFonts w:ascii="Garamond" w:hAnsi="Garamond" w:cs="Verdana"/>
          <w:color w:val="262626"/>
        </w:rPr>
        <w:t>,</w:t>
      </w:r>
      <w:r w:rsidRPr="00D74F70">
        <w:rPr>
          <w:rFonts w:ascii="Garamond" w:hAnsi="Garamond" w:cs="Verdana"/>
          <w:color w:val="262626"/>
        </w:rPr>
        <w:t xml:space="preserve"> which may exceed the immediate financial cost impacts of a project.</w:t>
      </w:r>
      <w:r w:rsidRPr="00D74F70">
        <w:rPr>
          <w:rStyle w:val="FootnoteReference"/>
          <w:rFonts w:ascii="Garamond" w:hAnsi="Garamond" w:cs="Verdana"/>
          <w:color w:val="262626"/>
        </w:rPr>
        <w:footnoteReference w:id="23"/>
      </w:r>
      <w:r w:rsidR="004156A2">
        <w:rPr>
          <w:rFonts w:ascii="Garamond" w:hAnsi="Garamond" w:cs="Verdana"/>
          <w:color w:val="262626"/>
        </w:rPr>
        <w:t xml:space="preserve"> </w:t>
      </w:r>
      <w:r w:rsidR="000561B5">
        <w:rPr>
          <w:rFonts w:ascii="Garamond" w:hAnsi="Garamond" w:cs="Verdana"/>
          <w:color w:val="262626"/>
        </w:rPr>
        <w:t xml:space="preserve">A </w:t>
      </w:r>
      <w:r w:rsidR="000561B5">
        <w:rPr>
          <w:rFonts w:ascii="Garamond" w:hAnsi="Garamond" w:cs="Times New Roman"/>
        </w:rPr>
        <w:t>r</w:t>
      </w:r>
      <w:r w:rsidR="004156A2">
        <w:rPr>
          <w:rFonts w:ascii="Garamond" w:hAnsi="Garamond" w:cs="Times New Roman"/>
        </w:rPr>
        <w:t>isk assessment</w:t>
      </w:r>
      <w:r w:rsidR="000561B5">
        <w:rPr>
          <w:rFonts w:ascii="Garamond" w:hAnsi="Garamond" w:cs="Times New Roman"/>
        </w:rPr>
        <w:t xml:space="preserve"> should be undertaken, addressing</w:t>
      </w:r>
      <w:r w:rsidR="004156A2">
        <w:rPr>
          <w:rFonts w:ascii="Garamond" w:hAnsi="Garamond" w:cs="Times New Roman"/>
        </w:rPr>
        <w:t xml:space="preserve"> the area of influence of a concession, including:</w:t>
      </w:r>
      <w:r w:rsidR="004156A2" w:rsidRPr="00F35C91">
        <w:rPr>
          <w:rStyle w:val="FootnoteReference"/>
          <w:rFonts w:ascii="Garamond" w:hAnsi="Garamond"/>
        </w:rPr>
        <w:t xml:space="preserve"> </w:t>
      </w:r>
      <w:r w:rsidR="004156A2">
        <w:rPr>
          <w:rStyle w:val="FootnoteReference"/>
          <w:rFonts w:ascii="Garamond" w:hAnsi="Garamond"/>
        </w:rPr>
        <w:footnoteReference w:id="24"/>
      </w:r>
    </w:p>
    <w:p w14:paraId="5481F672" w14:textId="77777777" w:rsidR="00F361E7" w:rsidRPr="004156A2" w:rsidRDefault="00F361E7" w:rsidP="00F361E7">
      <w:pPr>
        <w:spacing w:before="0" w:after="0" w:line="240" w:lineRule="auto"/>
        <w:rPr>
          <w:rFonts w:ascii="Garamond" w:hAnsi="Garamond"/>
        </w:rPr>
      </w:pPr>
    </w:p>
    <w:p w14:paraId="0ABA7AA9" w14:textId="77777777"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The area to be affected by the tourism concession, its operation and contractors;</w:t>
      </w:r>
    </w:p>
    <w:p w14:paraId="2F005CFE" w14:textId="16E71EA6"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Associated facilities, that would not be developed if the concession did not exist;</w:t>
      </w:r>
      <w:r>
        <w:rPr>
          <w:rFonts w:ascii="Garamond" w:hAnsi="Garamond" w:cs="Times New Roman"/>
        </w:rPr>
        <w:t xml:space="preserve"> and</w:t>
      </w:r>
    </w:p>
    <w:p w14:paraId="3BFC4D92" w14:textId="77777777"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 xml:space="preserve">Cumulative impacts, resulting from incremental impacts relating to other existing or planned developments (e.g. other tourism facilities, concessions). </w:t>
      </w:r>
    </w:p>
    <w:p w14:paraId="4B64CACF" w14:textId="77777777" w:rsidR="004156A2" w:rsidRDefault="004156A2">
      <w:pPr>
        <w:spacing w:before="0" w:after="0" w:line="240" w:lineRule="auto"/>
        <w:jc w:val="left"/>
        <w:rPr>
          <w:rFonts w:ascii="Garamond" w:hAnsi="Garamond"/>
          <w:sz w:val="24"/>
          <w:szCs w:val="24"/>
        </w:rPr>
      </w:pPr>
    </w:p>
    <w:p w14:paraId="2DE55B31" w14:textId="6986885A" w:rsidR="002E65C5" w:rsidRDefault="00E71C5D">
      <w:pPr>
        <w:spacing w:before="0" w:after="0" w:line="240" w:lineRule="auto"/>
        <w:jc w:val="left"/>
        <w:rPr>
          <w:rFonts w:ascii="Garamond" w:hAnsi="Garamond"/>
        </w:rPr>
      </w:pPr>
      <w:r>
        <w:rPr>
          <w:rFonts w:ascii="Garamond" w:hAnsi="Garamond"/>
          <w:sz w:val="24"/>
          <w:szCs w:val="24"/>
        </w:rPr>
        <w:t xml:space="preserve">A risk mitigation plan should be developed </w:t>
      </w:r>
      <w:r>
        <w:rPr>
          <w:rFonts w:ascii="Garamond" w:hAnsi="Garamond"/>
        </w:rPr>
        <w:t xml:space="preserve">to establish standards, identify and monitoring changes in those standard throughout the </w:t>
      </w:r>
      <w:r w:rsidR="004156A2">
        <w:rPr>
          <w:rFonts w:ascii="Garamond" w:hAnsi="Garamond"/>
        </w:rPr>
        <w:t xml:space="preserve">procurement process, and also the </w:t>
      </w:r>
      <w:r>
        <w:rPr>
          <w:rFonts w:ascii="Garamond" w:hAnsi="Garamond"/>
        </w:rPr>
        <w:t>life cycle of a tourism concession.</w:t>
      </w:r>
    </w:p>
    <w:p w14:paraId="3D236155" w14:textId="77777777" w:rsidR="009577E3" w:rsidRDefault="009577E3">
      <w:pPr>
        <w:spacing w:before="0" w:after="0" w:line="240" w:lineRule="auto"/>
        <w:jc w:val="left"/>
        <w:rPr>
          <w:rFonts w:ascii="Garamond" w:hAnsi="Garamond"/>
        </w:rPr>
      </w:pPr>
    </w:p>
    <w:p w14:paraId="3B7889E8" w14:textId="77777777" w:rsidR="009577E3" w:rsidRDefault="009577E3" w:rsidP="009577E3">
      <w:pPr>
        <w:spacing w:before="0" w:after="0" w:line="240" w:lineRule="auto"/>
        <w:rPr>
          <w:rFonts w:ascii="Garamond" w:hAnsi="Garamond"/>
        </w:rPr>
      </w:pPr>
      <w:r>
        <w:rPr>
          <w:rFonts w:ascii="Garamond" w:hAnsi="Garamond"/>
          <w:noProof/>
        </w:rPr>
        <w:drawing>
          <wp:inline distT="0" distB="0" distL="0" distR="0" wp14:anchorId="1A4F6C0A" wp14:editId="67D2ACD5">
            <wp:extent cx="2254250" cy="444500"/>
            <wp:effectExtent l="50800" t="25400" r="0" b="8890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6C4A7AF" w14:textId="77777777" w:rsidR="006C3AE5" w:rsidRDefault="006C3AE5" w:rsidP="006C3AE5">
      <w:pPr>
        <w:spacing w:before="0" w:after="0" w:line="240" w:lineRule="auto"/>
        <w:rPr>
          <w:rFonts w:ascii="Garamond" w:hAnsi="Garamond"/>
        </w:rPr>
      </w:pPr>
    </w:p>
    <w:p w14:paraId="1161AEC2" w14:textId="41E9494B" w:rsidR="006C3AE5" w:rsidRDefault="006C3AE5" w:rsidP="006C3AE5">
      <w:pPr>
        <w:pStyle w:val="Heading3"/>
        <w:rPr>
          <w:rFonts w:ascii="Garamond" w:hAnsi="Garamond"/>
        </w:rPr>
      </w:pPr>
      <w:bookmarkStart w:id="44" w:name="_Toc269636336"/>
      <w:r>
        <w:rPr>
          <w:rFonts w:ascii="Garamond" w:hAnsi="Garamond"/>
        </w:rPr>
        <w:t>Stakeholder engagement</w:t>
      </w:r>
      <w:bookmarkEnd w:id="44"/>
    </w:p>
    <w:p w14:paraId="0EB6615C" w14:textId="77777777" w:rsidR="000D67E0" w:rsidRDefault="000D67E0" w:rsidP="000D67E0">
      <w:pPr>
        <w:spacing w:before="0" w:after="0" w:line="240" w:lineRule="auto"/>
        <w:rPr>
          <w:rFonts w:ascii="Garamond" w:hAnsi="Garamond"/>
          <w:sz w:val="20"/>
          <w:szCs w:val="20"/>
        </w:rPr>
      </w:pPr>
    </w:p>
    <w:p w14:paraId="031C6700" w14:textId="26ED6E3E" w:rsidR="000D67E0" w:rsidRPr="000D67E0" w:rsidRDefault="005050B1" w:rsidP="000D67E0">
      <w:pPr>
        <w:spacing w:before="0" w:after="0" w:line="240" w:lineRule="auto"/>
        <w:rPr>
          <w:rFonts w:ascii="Garamond" w:hAnsi="Garamond" w:cs="Verdana"/>
          <w:color w:val="262626"/>
        </w:rPr>
      </w:pPr>
      <w:r w:rsidRPr="00A77027">
        <w:rPr>
          <w:rFonts w:ascii="Garamond" w:hAnsi="Garamond" w:cs="Times New Roman"/>
        </w:rPr>
        <w:t xml:space="preserve">Involving stakeholders at every stage of the </w:t>
      </w:r>
      <w:r>
        <w:rPr>
          <w:rFonts w:ascii="Garamond" w:hAnsi="Garamond" w:cs="Times New Roman"/>
        </w:rPr>
        <w:t xml:space="preserve">concessioning </w:t>
      </w:r>
      <w:r w:rsidRPr="00A77027">
        <w:rPr>
          <w:rFonts w:ascii="Garamond" w:hAnsi="Garamond" w:cs="Times New Roman"/>
        </w:rPr>
        <w:t>process ensures that their perspectives, knowledge, and support are incorporated</w:t>
      </w:r>
      <w:r>
        <w:rPr>
          <w:rStyle w:val="FootnoteReference"/>
          <w:rFonts w:ascii="Garamond" w:hAnsi="Garamond"/>
        </w:rPr>
        <w:footnoteReference w:id="25"/>
      </w:r>
      <w:r w:rsidRPr="00A77027">
        <w:rPr>
          <w:rFonts w:ascii="Garamond" w:hAnsi="Garamond" w:cs="Times New Roman"/>
        </w:rPr>
        <w:t xml:space="preserve">. </w:t>
      </w:r>
      <w:r w:rsidR="000D67E0" w:rsidRPr="000D67E0">
        <w:rPr>
          <w:rFonts w:ascii="Garamond" w:hAnsi="Garamond"/>
        </w:rPr>
        <w:t>Stakeholder engagement should include:</w:t>
      </w:r>
      <w:r w:rsidR="000D67E0" w:rsidRPr="000D67E0">
        <w:rPr>
          <w:rStyle w:val="FootnoteReference"/>
          <w:rFonts w:ascii="Garamond" w:hAnsi="Garamond" w:cs="Verdana"/>
          <w:color w:val="262626"/>
        </w:rPr>
        <w:t xml:space="preserve"> </w:t>
      </w:r>
      <w:r w:rsidR="000D67E0" w:rsidRPr="000D67E0">
        <w:rPr>
          <w:rStyle w:val="FootnoteReference"/>
          <w:rFonts w:ascii="Garamond" w:hAnsi="Garamond" w:cs="Verdana"/>
          <w:color w:val="262626"/>
        </w:rPr>
        <w:footnoteReference w:id="26"/>
      </w:r>
    </w:p>
    <w:p w14:paraId="73A812C9" w14:textId="77777777" w:rsidR="000D67E0" w:rsidRPr="000D67E0" w:rsidRDefault="000D67E0" w:rsidP="000D67E0">
      <w:pPr>
        <w:spacing w:before="0" w:after="0" w:line="240" w:lineRule="auto"/>
        <w:rPr>
          <w:rFonts w:ascii="Garamond" w:hAnsi="Garamond"/>
        </w:rPr>
      </w:pPr>
    </w:p>
    <w:p w14:paraId="11E5942C"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 xml:space="preserve">Identification of stakeholders (including within government, protected area authorities, private sector, locally affected communities, civil society groups, academic community, development community). </w:t>
      </w:r>
    </w:p>
    <w:p w14:paraId="2F721CCC"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Determination of the level of stakeholder engagement (i.e. inform, consult, involve, collaborate, or empower).</w:t>
      </w:r>
    </w:p>
    <w:p w14:paraId="47C79C85"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Sensitization to secure support and participation in the investment facilitation process.</w:t>
      </w:r>
    </w:p>
    <w:p w14:paraId="4FCC6F0F"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Technical assistance to community members that intend to participate financially in a concession investment.</w:t>
      </w:r>
    </w:p>
    <w:p w14:paraId="28AD26C8" w14:textId="77777777" w:rsidR="006217A8" w:rsidRDefault="006217A8" w:rsidP="000D67E0">
      <w:pPr>
        <w:spacing w:before="0" w:after="0" w:line="240" w:lineRule="auto"/>
        <w:rPr>
          <w:rFonts w:ascii="Garamond" w:hAnsi="Garamond"/>
        </w:rPr>
      </w:pPr>
    </w:p>
    <w:p w14:paraId="442205A4" w14:textId="77777777" w:rsidR="005050B1" w:rsidRDefault="005050B1" w:rsidP="005050B1">
      <w:pPr>
        <w:spacing w:before="0" w:after="0" w:line="240" w:lineRule="auto"/>
        <w:rPr>
          <w:rFonts w:ascii="Garamond" w:hAnsi="Garamond"/>
        </w:rPr>
      </w:pPr>
      <w:r>
        <w:rPr>
          <w:rFonts w:ascii="Garamond" w:hAnsi="Garamond"/>
        </w:rPr>
        <w:lastRenderedPageBreak/>
        <w:t>The types of stakeholders relating to tourism concessions can include those outlined in the table below</w:t>
      </w:r>
      <w:r>
        <w:rPr>
          <w:rStyle w:val="FootnoteReference"/>
          <w:rFonts w:ascii="Garamond" w:hAnsi="Garamond"/>
        </w:rPr>
        <w:footnoteReference w:id="27"/>
      </w:r>
      <w:r>
        <w:rPr>
          <w:rFonts w:ascii="Garamond" w:hAnsi="Garamond"/>
        </w:rPr>
        <w:t>.</w:t>
      </w:r>
    </w:p>
    <w:p w14:paraId="683F4310" w14:textId="77777777" w:rsidR="005050B1" w:rsidRDefault="005050B1" w:rsidP="005050B1">
      <w:pPr>
        <w:spacing w:before="0" w:after="0" w:line="240" w:lineRule="auto"/>
        <w:rPr>
          <w:rFonts w:ascii="Garamond" w:hAnsi="Garamond"/>
        </w:rPr>
      </w:pPr>
    </w:p>
    <w:p w14:paraId="4F13CFA9" w14:textId="1B563B2C" w:rsidR="00D80BEE" w:rsidRPr="00D80BEE" w:rsidRDefault="00D80BEE" w:rsidP="005050B1">
      <w:pPr>
        <w:spacing w:before="0" w:after="0" w:line="240" w:lineRule="auto"/>
        <w:rPr>
          <w:rFonts w:ascii="Garamond" w:hAnsi="Garamond"/>
          <w:b/>
        </w:rPr>
      </w:pPr>
      <w:bookmarkStart w:id="45" w:name="_Toc269636033"/>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Pr>
          <w:rFonts w:ascii="Garamond" w:hAnsi="Garamond"/>
          <w:b/>
          <w:noProof/>
        </w:rPr>
        <w:t>3</w:t>
      </w:r>
      <w:r w:rsidRPr="00E7110D">
        <w:rPr>
          <w:rFonts w:ascii="Garamond" w:hAnsi="Garamond"/>
          <w:b/>
          <w:noProof/>
        </w:rPr>
        <w:fldChar w:fldCharType="end"/>
      </w:r>
      <w:r w:rsidRPr="00E7110D">
        <w:rPr>
          <w:rFonts w:ascii="Garamond" w:hAnsi="Garamond"/>
          <w:b/>
        </w:rPr>
        <w:t xml:space="preserve">: </w:t>
      </w:r>
      <w:r>
        <w:rPr>
          <w:rFonts w:ascii="Garamond" w:hAnsi="Garamond"/>
          <w:b/>
        </w:rPr>
        <w:t>Stakeholders and their role in tourism concessions</w:t>
      </w:r>
      <w:bookmarkEnd w:id="45"/>
    </w:p>
    <w:tbl>
      <w:tblPr>
        <w:tblStyle w:val="TableGrid"/>
        <w:tblW w:w="9180" w:type="dxa"/>
        <w:tblLayout w:type="fixed"/>
        <w:tblLook w:val="04A0" w:firstRow="1" w:lastRow="0" w:firstColumn="1" w:lastColumn="0" w:noHBand="0" w:noVBand="1"/>
      </w:tblPr>
      <w:tblGrid>
        <w:gridCol w:w="2943"/>
        <w:gridCol w:w="6237"/>
      </w:tblGrid>
      <w:tr w:rsidR="005050B1" w:rsidRPr="002935B8" w14:paraId="0AD97844" w14:textId="77777777" w:rsidTr="005050B1">
        <w:tc>
          <w:tcPr>
            <w:tcW w:w="2943" w:type="dxa"/>
          </w:tcPr>
          <w:p w14:paraId="5DFC9886" w14:textId="77777777" w:rsidR="005050B1" w:rsidRPr="00D5708D" w:rsidRDefault="005050B1" w:rsidP="005050B1">
            <w:pPr>
              <w:spacing w:before="0" w:after="0" w:line="240" w:lineRule="auto"/>
              <w:jc w:val="left"/>
              <w:rPr>
                <w:rFonts w:ascii="Garamond" w:hAnsi="Garamond"/>
                <w:b/>
              </w:rPr>
            </w:pPr>
            <w:r w:rsidRPr="00D5708D">
              <w:rPr>
                <w:rFonts w:ascii="Garamond" w:hAnsi="Garamond"/>
                <w:b/>
              </w:rPr>
              <w:t>Type of Stakeholder</w:t>
            </w:r>
          </w:p>
        </w:tc>
        <w:tc>
          <w:tcPr>
            <w:tcW w:w="6237" w:type="dxa"/>
          </w:tcPr>
          <w:p w14:paraId="3E74331B" w14:textId="77777777" w:rsidR="005050B1" w:rsidRPr="00D5708D" w:rsidRDefault="005050B1" w:rsidP="005050B1">
            <w:pPr>
              <w:spacing w:before="0" w:after="0" w:line="240" w:lineRule="auto"/>
              <w:jc w:val="left"/>
              <w:rPr>
                <w:rFonts w:ascii="Garamond" w:hAnsi="Garamond"/>
                <w:b/>
              </w:rPr>
            </w:pPr>
            <w:r w:rsidRPr="00D5708D">
              <w:rPr>
                <w:rFonts w:ascii="Garamond" w:hAnsi="Garamond"/>
                <w:b/>
              </w:rPr>
              <w:t>Interest or Role in the Concession Process</w:t>
            </w:r>
          </w:p>
        </w:tc>
      </w:tr>
      <w:tr w:rsidR="005050B1" w14:paraId="3D549A46" w14:textId="77777777" w:rsidTr="005050B1">
        <w:tc>
          <w:tcPr>
            <w:tcW w:w="2943" w:type="dxa"/>
          </w:tcPr>
          <w:p w14:paraId="53E779EE"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National or local government authorities</w:t>
            </w:r>
          </w:p>
        </w:tc>
        <w:tc>
          <w:tcPr>
            <w:tcW w:w="6237" w:type="dxa"/>
          </w:tcPr>
          <w:p w14:paraId="723D8643" w14:textId="40CACAD9" w:rsidR="005050B1" w:rsidRPr="00D80BEE" w:rsidRDefault="005050B1" w:rsidP="00D80BEE">
            <w:pPr>
              <w:spacing w:before="0" w:after="0" w:line="240" w:lineRule="auto"/>
              <w:jc w:val="left"/>
              <w:rPr>
                <w:rFonts w:ascii="Garamond" w:hAnsi="Garamond"/>
                <w:sz w:val="20"/>
                <w:szCs w:val="20"/>
              </w:rPr>
            </w:pPr>
            <w:r w:rsidRPr="00D80BEE">
              <w:rPr>
                <w:rFonts w:ascii="Garamond" w:hAnsi="Garamond"/>
                <w:sz w:val="20"/>
                <w:szCs w:val="20"/>
              </w:rPr>
              <w:t>Interest</w:t>
            </w:r>
            <w:r w:rsidR="00D80BEE" w:rsidRPr="00D80BEE">
              <w:rPr>
                <w:rFonts w:ascii="Garamond" w:hAnsi="Garamond"/>
                <w:sz w:val="20"/>
                <w:szCs w:val="20"/>
              </w:rPr>
              <w:t xml:space="preserve"> is</w:t>
            </w:r>
            <w:r w:rsidRPr="00D80BEE">
              <w:rPr>
                <w:rFonts w:ascii="Garamond" w:hAnsi="Garamond"/>
                <w:sz w:val="20"/>
                <w:szCs w:val="20"/>
              </w:rPr>
              <w:t xml:space="preserve"> to ensure that the proposed concession process satisfies local and national legislation and adheres to all specified regulations. </w:t>
            </w:r>
            <w:r w:rsidR="00D80BEE" w:rsidRPr="00D80BEE">
              <w:rPr>
                <w:rFonts w:ascii="Garamond" w:hAnsi="Garamond"/>
                <w:sz w:val="20"/>
                <w:szCs w:val="20"/>
              </w:rPr>
              <w:t xml:space="preserve">This can include land issues, and transboundary elements relating to immigration, importation of goods and services, and labour. </w:t>
            </w:r>
          </w:p>
        </w:tc>
      </w:tr>
      <w:tr w:rsidR="005050B1" w14:paraId="116A4671" w14:textId="77777777" w:rsidTr="005050B1">
        <w:tc>
          <w:tcPr>
            <w:tcW w:w="2943" w:type="dxa"/>
          </w:tcPr>
          <w:p w14:paraId="71AF327D"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Politicians</w:t>
            </w:r>
          </w:p>
        </w:tc>
        <w:tc>
          <w:tcPr>
            <w:tcW w:w="6237" w:type="dxa"/>
          </w:tcPr>
          <w:p w14:paraId="6930D50D" w14:textId="2FC4BF63"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 xml:space="preserve">Interest </w:t>
            </w:r>
            <w:r w:rsidR="00D80BEE" w:rsidRPr="00D80BEE">
              <w:rPr>
                <w:rFonts w:ascii="Garamond" w:hAnsi="Garamond"/>
                <w:sz w:val="20"/>
                <w:szCs w:val="20"/>
              </w:rPr>
              <w:t xml:space="preserve"> is </w:t>
            </w:r>
            <w:r w:rsidRPr="00D80BEE">
              <w:rPr>
                <w:rFonts w:ascii="Garamond" w:hAnsi="Garamond"/>
                <w:sz w:val="20"/>
                <w:szCs w:val="20"/>
              </w:rPr>
              <w:t>to ensure that the agreed process meets the needs and expectations of their constituents</w:t>
            </w:r>
            <w:r w:rsidR="00D80BEE" w:rsidRPr="00D80BEE">
              <w:rPr>
                <w:rFonts w:ascii="Garamond" w:hAnsi="Garamond"/>
                <w:sz w:val="20"/>
                <w:szCs w:val="20"/>
              </w:rPr>
              <w:t xml:space="preserve">, and relates to overarching policies. </w:t>
            </w:r>
          </w:p>
        </w:tc>
      </w:tr>
      <w:tr w:rsidR="005050B1" w14:paraId="3580A2BB" w14:textId="77777777" w:rsidTr="005050B1">
        <w:tc>
          <w:tcPr>
            <w:tcW w:w="2943" w:type="dxa"/>
          </w:tcPr>
          <w:p w14:paraId="351D140D" w14:textId="0153EC72"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Protected area authoritie</w:t>
            </w:r>
            <w:r w:rsidR="009F3152">
              <w:rPr>
                <w:rFonts w:ascii="Garamond" w:hAnsi="Garamond"/>
                <w:sz w:val="20"/>
                <w:szCs w:val="20"/>
              </w:rPr>
              <w:t>s</w:t>
            </w:r>
          </w:p>
        </w:tc>
        <w:tc>
          <w:tcPr>
            <w:tcW w:w="6237" w:type="dxa"/>
          </w:tcPr>
          <w:p w14:paraId="3796F6A3"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 xml:space="preserve">Ensuring that the concession does not undermine conservation of the natural and/or cultural asset, and that it contributes financially to the management costs. </w:t>
            </w:r>
          </w:p>
        </w:tc>
      </w:tr>
      <w:tr w:rsidR="009F3152" w14:paraId="58FF1D80" w14:textId="77777777" w:rsidTr="005050B1">
        <w:tc>
          <w:tcPr>
            <w:tcW w:w="2943" w:type="dxa"/>
          </w:tcPr>
          <w:p w14:paraId="5BA29AE3" w14:textId="4E1B9FBA" w:rsidR="009F3152" w:rsidRPr="00D80BEE" w:rsidRDefault="009F3152" w:rsidP="005050B1">
            <w:pPr>
              <w:spacing w:before="0" w:after="0" w:line="240" w:lineRule="auto"/>
              <w:jc w:val="left"/>
              <w:rPr>
                <w:rFonts w:ascii="Garamond" w:hAnsi="Garamond"/>
                <w:sz w:val="20"/>
                <w:szCs w:val="20"/>
              </w:rPr>
            </w:pPr>
            <w:r>
              <w:rPr>
                <w:rFonts w:ascii="Garamond" w:hAnsi="Garamond"/>
                <w:sz w:val="20"/>
                <w:szCs w:val="20"/>
              </w:rPr>
              <w:t>TFCA management units</w:t>
            </w:r>
          </w:p>
        </w:tc>
        <w:tc>
          <w:tcPr>
            <w:tcW w:w="6237" w:type="dxa"/>
          </w:tcPr>
          <w:p w14:paraId="081CEEBA" w14:textId="0BA273A9" w:rsidR="009F3152" w:rsidRPr="00D80BEE" w:rsidRDefault="009F3152" w:rsidP="005050B1">
            <w:pPr>
              <w:spacing w:before="0" w:after="0" w:line="240" w:lineRule="auto"/>
              <w:jc w:val="left"/>
              <w:rPr>
                <w:rFonts w:ascii="Garamond" w:hAnsi="Garamond"/>
                <w:sz w:val="20"/>
                <w:szCs w:val="20"/>
              </w:rPr>
            </w:pPr>
            <w:r>
              <w:rPr>
                <w:rFonts w:ascii="Garamond" w:hAnsi="Garamond"/>
                <w:sz w:val="20"/>
                <w:szCs w:val="20"/>
              </w:rPr>
              <w:t xml:space="preserve">Ensuring that concessions are aligned with TFCA development and tourism plans, and that participating countries contribute and benefit equitably. </w:t>
            </w:r>
          </w:p>
        </w:tc>
      </w:tr>
      <w:tr w:rsidR="005050B1" w14:paraId="2EEFAE97" w14:textId="77777777" w:rsidTr="005050B1">
        <w:tc>
          <w:tcPr>
            <w:tcW w:w="2943" w:type="dxa"/>
          </w:tcPr>
          <w:p w14:paraId="22EFBFC5"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Private sector (including tourism and other sectors)</w:t>
            </w:r>
          </w:p>
        </w:tc>
        <w:tc>
          <w:tcPr>
            <w:tcW w:w="6237" w:type="dxa"/>
          </w:tcPr>
          <w:p w14:paraId="629CA841"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Interest in benefiting from the concession (directly or indirectly) and to ensure that the concession does not impede their current performance.</w:t>
            </w:r>
          </w:p>
        </w:tc>
      </w:tr>
      <w:tr w:rsidR="005050B1" w14:paraId="6C4141D2" w14:textId="77777777" w:rsidTr="005050B1">
        <w:tc>
          <w:tcPr>
            <w:tcW w:w="2943" w:type="dxa"/>
          </w:tcPr>
          <w:p w14:paraId="3C099CB0"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Locally affected communities or individuals (including leaders, action groups, landowners, occupiers)</w:t>
            </w:r>
          </w:p>
        </w:tc>
        <w:tc>
          <w:tcPr>
            <w:tcW w:w="6237" w:type="dxa"/>
          </w:tcPr>
          <w:p w14:paraId="57CCF0DD"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 xml:space="preserve">Interest in ensuring the concession improves the livelihoods for present and future generations and does not negatively affect their environment, way of life or future. </w:t>
            </w:r>
          </w:p>
        </w:tc>
      </w:tr>
      <w:tr w:rsidR="005050B1" w14:paraId="586E59A5" w14:textId="77777777" w:rsidTr="005050B1">
        <w:tc>
          <w:tcPr>
            <w:tcW w:w="2943" w:type="dxa"/>
          </w:tcPr>
          <w:p w14:paraId="1E8718F1"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Civil society organizations and groups with special interests</w:t>
            </w:r>
          </w:p>
        </w:tc>
        <w:tc>
          <w:tcPr>
            <w:tcW w:w="6237" w:type="dxa"/>
          </w:tcPr>
          <w:p w14:paraId="3FD48E92"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Represent the views of groups with less of a voice (marginalised communities) or no voice (wildlife, environmental issues).</w:t>
            </w:r>
          </w:p>
        </w:tc>
      </w:tr>
      <w:tr w:rsidR="005050B1" w14:paraId="76D83FB7" w14:textId="77777777" w:rsidTr="005050B1">
        <w:tc>
          <w:tcPr>
            <w:tcW w:w="2943" w:type="dxa"/>
          </w:tcPr>
          <w:p w14:paraId="1C71EA48"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Academic community</w:t>
            </w:r>
          </w:p>
        </w:tc>
        <w:tc>
          <w:tcPr>
            <w:tcW w:w="6237" w:type="dxa"/>
          </w:tcPr>
          <w:p w14:paraId="59358FBE"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Provide advice on previous studies conducted in the area or of concessions in other locations.</w:t>
            </w:r>
          </w:p>
        </w:tc>
      </w:tr>
      <w:tr w:rsidR="005050B1" w14:paraId="01B0904B" w14:textId="77777777" w:rsidTr="005050B1">
        <w:tc>
          <w:tcPr>
            <w:tcW w:w="2943" w:type="dxa"/>
          </w:tcPr>
          <w:p w14:paraId="61114B8F"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Development community (including donor and development agencies)</w:t>
            </w:r>
          </w:p>
        </w:tc>
        <w:tc>
          <w:tcPr>
            <w:tcW w:w="6237" w:type="dxa"/>
          </w:tcPr>
          <w:p w14:paraId="6F8CA55B"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Providing funding and technical support, which may have projects supporting protected areas, their authorities, and poverty reduction initiatives for communities.</w:t>
            </w:r>
          </w:p>
        </w:tc>
      </w:tr>
    </w:tbl>
    <w:p w14:paraId="6D9C4703" w14:textId="77777777" w:rsidR="005050B1" w:rsidRDefault="005050B1" w:rsidP="005050B1">
      <w:pPr>
        <w:spacing w:before="0" w:after="0" w:line="240" w:lineRule="auto"/>
        <w:rPr>
          <w:rFonts w:ascii="Garamond" w:hAnsi="Garamond"/>
          <w:b/>
        </w:rPr>
      </w:pPr>
    </w:p>
    <w:p w14:paraId="164127B8" w14:textId="778655E0" w:rsidR="000D67E0" w:rsidRPr="000D67E0" w:rsidRDefault="000D67E0" w:rsidP="000D67E0">
      <w:pPr>
        <w:widowControl w:val="0"/>
        <w:autoSpaceDE w:val="0"/>
        <w:autoSpaceDN w:val="0"/>
        <w:adjustRightInd w:val="0"/>
        <w:spacing w:before="0" w:after="0" w:line="240" w:lineRule="auto"/>
        <w:rPr>
          <w:rFonts w:ascii="Garamond" w:hAnsi="Garamond" w:cs="Times"/>
        </w:rPr>
      </w:pPr>
      <w:r w:rsidRPr="000D67E0">
        <w:rPr>
          <w:rFonts w:ascii="Garamond" w:hAnsi="Garamond" w:cs="Times"/>
        </w:rPr>
        <w:t>Good practices in disclosure and consultation stakeholder engagement</w:t>
      </w:r>
      <w:r>
        <w:rPr>
          <w:rFonts w:ascii="Garamond" w:hAnsi="Garamond" w:cs="Times"/>
        </w:rPr>
        <w:t xml:space="preserve"> include:</w:t>
      </w:r>
      <w:r w:rsidRPr="000D67E0">
        <w:rPr>
          <w:rStyle w:val="FootnoteReference"/>
          <w:rFonts w:ascii="Garamond" w:hAnsi="Garamond" w:cs="Times"/>
        </w:rPr>
        <w:footnoteReference w:id="28"/>
      </w:r>
      <w:r w:rsidRPr="000D67E0">
        <w:rPr>
          <w:rFonts w:ascii="Garamond" w:hAnsi="Garamond" w:cs="Times"/>
        </w:rPr>
        <w:t xml:space="preserve"> </w:t>
      </w:r>
    </w:p>
    <w:p w14:paraId="5C9D72AB" w14:textId="77777777" w:rsidR="000D67E0" w:rsidRPr="000D67E0" w:rsidRDefault="000D67E0" w:rsidP="000D67E0">
      <w:pPr>
        <w:widowControl w:val="0"/>
        <w:autoSpaceDE w:val="0"/>
        <w:autoSpaceDN w:val="0"/>
        <w:adjustRightInd w:val="0"/>
        <w:spacing w:before="0" w:after="0" w:line="240" w:lineRule="auto"/>
        <w:rPr>
          <w:rFonts w:ascii="Garamond" w:hAnsi="Garamond" w:cs="Times"/>
        </w:rPr>
      </w:pPr>
    </w:p>
    <w:p w14:paraId="1F44E623"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Documentation of consultation, including where and when meetings were, who participated, issues raised and responses to them.</w:t>
      </w:r>
    </w:p>
    <w:p w14:paraId="313D824A"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 xml:space="preserve">Disclosure of reports and management plans, including through publically accessible locations and weblinks. </w:t>
      </w:r>
    </w:p>
    <w:p w14:paraId="1FBC25DB"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Notification of affected stakeholders of where and when documents can be reviewed.</w:t>
      </w:r>
    </w:p>
    <w:p w14:paraId="1004F54A"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Respond to comments, including acknowledging receipt, and informing stakeholders whether comments were incorporated or not adopted (and why).</w:t>
      </w:r>
    </w:p>
    <w:p w14:paraId="2942CA3D" w14:textId="77777777" w:rsid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 xml:space="preserve">Distribute an executive summary or newsletter, in simple and easily understandable format, focusing on key issues and future stakeholder consultation. </w:t>
      </w:r>
    </w:p>
    <w:p w14:paraId="3350A425" w14:textId="77777777" w:rsidR="00E4492C" w:rsidRDefault="00E4492C" w:rsidP="00E4492C">
      <w:pPr>
        <w:widowControl w:val="0"/>
        <w:tabs>
          <w:tab w:val="left" w:pos="220"/>
          <w:tab w:val="left" w:pos="720"/>
        </w:tabs>
        <w:autoSpaceDE w:val="0"/>
        <w:autoSpaceDN w:val="0"/>
        <w:adjustRightInd w:val="0"/>
        <w:spacing w:before="0" w:after="0" w:line="240" w:lineRule="auto"/>
        <w:jc w:val="left"/>
        <w:rPr>
          <w:rFonts w:ascii="Garamond" w:hAnsi="Garamond" w:cs="Avenir Light"/>
          <w:color w:val="1A1718"/>
        </w:rPr>
      </w:pPr>
    </w:p>
    <w:p w14:paraId="0DA442F4" w14:textId="77777777" w:rsidR="00E4492C" w:rsidRDefault="00E4492C" w:rsidP="00E4492C">
      <w:pPr>
        <w:pStyle w:val="ListParagraph"/>
        <w:spacing w:before="0" w:after="0" w:line="240" w:lineRule="auto"/>
        <w:rPr>
          <w:rFonts w:ascii="Garamond" w:hAnsi="Garamond"/>
        </w:rPr>
      </w:pPr>
    </w:p>
    <w:p w14:paraId="71A94382" w14:textId="77777777" w:rsidR="00E4492C" w:rsidRDefault="00E4492C" w:rsidP="00E4492C">
      <w:pPr>
        <w:spacing w:before="0" w:after="0" w:line="240" w:lineRule="auto"/>
        <w:rPr>
          <w:rFonts w:ascii="Garamond" w:hAnsi="Garamond"/>
        </w:rPr>
      </w:pPr>
      <w:r>
        <w:rPr>
          <w:rFonts w:ascii="Garamond" w:hAnsi="Garamond"/>
          <w:noProof/>
        </w:rPr>
        <w:drawing>
          <wp:inline distT="0" distB="0" distL="0" distR="0" wp14:anchorId="058FCD43" wp14:editId="7FFA21E0">
            <wp:extent cx="2254250" cy="660400"/>
            <wp:effectExtent l="50800" t="25400" r="0" b="7620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2E81CC3" w14:textId="77777777" w:rsidR="00E4492C" w:rsidRPr="00E4492C" w:rsidRDefault="00E4492C" w:rsidP="00E4492C">
      <w:pPr>
        <w:widowControl w:val="0"/>
        <w:tabs>
          <w:tab w:val="left" w:pos="220"/>
          <w:tab w:val="left" w:pos="720"/>
        </w:tabs>
        <w:autoSpaceDE w:val="0"/>
        <w:autoSpaceDN w:val="0"/>
        <w:adjustRightInd w:val="0"/>
        <w:spacing w:before="0" w:after="0" w:line="240" w:lineRule="auto"/>
        <w:jc w:val="left"/>
        <w:rPr>
          <w:rFonts w:ascii="Garamond" w:hAnsi="Garamond" w:cs="Avenir Light"/>
          <w:color w:val="1A1718"/>
        </w:rPr>
      </w:pPr>
    </w:p>
    <w:p w14:paraId="7785EC5C" w14:textId="77777777" w:rsidR="009577E3" w:rsidRDefault="009577E3">
      <w:pPr>
        <w:spacing w:before="0" w:after="0" w:line="240" w:lineRule="auto"/>
        <w:jc w:val="left"/>
        <w:rPr>
          <w:rFonts w:ascii="Garamond" w:hAnsi="Garamond"/>
        </w:rPr>
      </w:pPr>
    </w:p>
    <w:p w14:paraId="35A2C4B5" w14:textId="77777777" w:rsidR="009577E3" w:rsidRDefault="009577E3" w:rsidP="009577E3">
      <w:pPr>
        <w:pStyle w:val="Heading3"/>
        <w:rPr>
          <w:rFonts w:ascii="Garamond" w:hAnsi="Garamond"/>
        </w:rPr>
      </w:pPr>
      <w:bookmarkStart w:id="46" w:name="_Ref268855939"/>
      <w:bookmarkStart w:id="47" w:name="_Ref268857514"/>
      <w:bookmarkStart w:id="48" w:name="_Ref269383415"/>
      <w:bookmarkStart w:id="49" w:name="_Toc269636337"/>
      <w:r>
        <w:rPr>
          <w:rFonts w:ascii="Garamond" w:hAnsi="Garamond"/>
        </w:rPr>
        <w:t>Viability and market assessment</w:t>
      </w:r>
      <w:bookmarkEnd w:id="46"/>
      <w:bookmarkEnd w:id="47"/>
      <w:bookmarkEnd w:id="48"/>
      <w:bookmarkEnd w:id="49"/>
    </w:p>
    <w:p w14:paraId="4061110C" w14:textId="77777777" w:rsidR="009577E3" w:rsidRDefault="009577E3" w:rsidP="009577E3">
      <w:pPr>
        <w:spacing w:before="0" w:after="0" w:line="240" w:lineRule="auto"/>
        <w:rPr>
          <w:rFonts w:ascii="Garamond" w:hAnsi="Garamond"/>
        </w:rPr>
      </w:pPr>
    </w:p>
    <w:p w14:paraId="66D7C329" w14:textId="77777777" w:rsidR="009577E3" w:rsidRDefault="009577E3" w:rsidP="009577E3">
      <w:pPr>
        <w:spacing w:before="0" w:after="0" w:line="240" w:lineRule="auto"/>
        <w:rPr>
          <w:rFonts w:ascii="Garamond" w:hAnsi="Garamond"/>
        </w:rPr>
      </w:pPr>
      <w:r>
        <w:rPr>
          <w:rFonts w:ascii="Garamond" w:hAnsi="Garamond"/>
        </w:rPr>
        <w:t xml:space="preserve">The revenue from tourism concessions can generate investment that can provide important funds to maintain the conservation efforts of PAAs (see </w:t>
      </w:r>
      <w:r w:rsidRPr="006217A8">
        <w:rPr>
          <w:rFonts w:ascii="Garamond" w:hAnsi="Garamond"/>
        </w:rPr>
        <w:fldChar w:fldCharType="begin"/>
      </w:r>
      <w:r w:rsidRPr="006217A8">
        <w:rPr>
          <w:rFonts w:ascii="Garamond" w:hAnsi="Garamond"/>
        </w:rPr>
        <w:instrText xml:space="preserve"> REF _Ref269375246 \h </w:instrText>
      </w:r>
      <w:r w:rsidRPr="006217A8">
        <w:rPr>
          <w:rFonts w:ascii="Garamond" w:hAnsi="Garamond"/>
        </w:rPr>
      </w:r>
      <w:r w:rsidRPr="006217A8">
        <w:rPr>
          <w:rFonts w:ascii="Garamond" w:hAnsi="Garamond"/>
        </w:rPr>
        <w:fldChar w:fldCharType="separate"/>
      </w:r>
      <w:r w:rsidRPr="006217A8">
        <w:rPr>
          <w:rFonts w:ascii="Garamond" w:hAnsi="Garamond"/>
        </w:rPr>
        <w:t xml:space="preserve">Box </w:t>
      </w:r>
      <w:r w:rsidRPr="006217A8">
        <w:rPr>
          <w:rFonts w:ascii="Garamond" w:hAnsi="Garamond"/>
          <w:noProof/>
        </w:rPr>
        <w:t>7</w:t>
      </w:r>
      <w:r w:rsidRPr="006217A8">
        <w:rPr>
          <w:rFonts w:ascii="Garamond" w:hAnsi="Garamond"/>
        </w:rPr>
        <w:fldChar w:fldCharType="end"/>
      </w:r>
      <w:r w:rsidRPr="006217A8">
        <w:rPr>
          <w:rFonts w:ascii="Garamond" w:hAnsi="Garamond"/>
        </w:rPr>
        <w:t>).</w:t>
      </w:r>
      <w:r>
        <w:rPr>
          <w:rFonts w:ascii="Garamond" w:hAnsi="Garamond"/>
        </w:rPr>
        <w:t xml:space="preserve">  However, it should be noted that some concession opportunities are very attractive to the private sector, if an appropriate return on investment is </w:t>
      </w:r>
      <w:r>
        <w:rPr>
          <w:rFonts w:ascii="Garamond" w:hAnsi="Garamond"/>
        </w:rPr>
        <w:lastRenderedPageBreak/>
        <w:t xml:space="preserve">unlikely or risks are too high. To understand the viability of a tourism concession, a high-level business plan needs to be compiled.  This is informed by a situational analysis and stakeholder engagement. </w:t>
      </w:r>
    </w:p>
    <w:p w14:paraId="7E66F8DF" w14:textId="77777777" w:rsidR="009577E3" w:rsidRDefault="009577E3" w:rsidP="009577E3">
      <w:pPr>
        <w:spacing w:before="0" w:after="0" w:line="240" w:lineRule="auto"/>
        <w:rPr>
          <w:rFonts w:ascii="Garamond" w:hAnsi="Garamond"/>
        </w:rPr>
      </w:pPr>
    </w:p>
    <w:p w14:paraId="4F668250" w14:textId="77777777" w:rsidR="009577E3" w:rsidRDefault="009577E3" w:rsidP="009577E3">
      <w:pPr>
        <w:spacing w:before="0" w:after="0" w:line="240" w:lineRule="auto"/>
        <w:rPr>
          <w:rFonts w:ascii="Garamond" w:hAnsi="Garamond"/>
        </w:rPr>
      </w:pPr>
      <w:bookmarkStart w:id="50" w:name="_Ref269375246"/>
      <w:bookmarkStart w:id="51" w:name="_Toc269636040"/>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6</w:t>
      </w:r>
      <w:r w:rsidRPr="00506C12">
        <w:rPr>
          <w:rFonts w:ascii="Garamond" w:hAnsi="Garamond"/>
          <w:b/>
        </w:rPr>
        <w:fldChar w:fldCharType="end"/>
      </w:r>
      <w:bookmarkEnd w:id="50"/>
      <w:r>
        <w:rPr>
          <w:rFonts w:ascii="Garamond" w:hAnsi="Garamond"/>
          <w:b/>
        </w:rPr>
        <w:t>: How much money can tourism concessions make?</w:t>
      </w:r>
      <w:r>
        <w:rPr>
          <w:rStyle w:val="FootnoteReference"/>
          <w:rFonts w:ascii="Garamond" w:hAnsi="Garamond"/>
          <w:b/>
        </w:rPr>
        <w:footnoteReference w:id="29"/>
      </w:r>
      <w:bookmarkEnd w:id="51"/>
    </w:p>
    <w:tbl>
      <w:tblPr>
        <w:tblStyle w:val="TableGrid"/>
        <w:tblW w:w="0" w:type="auto"/>
        <w:tblLook w:val="04A0" w:firstRow="1" w:lastRow="0" w:firstColumn="1" w:lastColumn="0" w:noHBand="0" w:noVBand="1"/>
      </w:tblPr>
      <w:tblGrid>
        <w:gridCol w:w="9242"/>
      </w:tblGrid>
      <w:tr w:rsidR="009577E3" w14:paraId="49F09234" w14:textId="77777777" w:rsidTr="000561B5">
        <w:tc>
          <w:tcPr>
            <w:tcW w:w="9242" w:type="dxa"/>
          </w:tcPr>
          <w:p w14:paraId="2AA22848" w14:textId="77777777" w:rsidR="009577E3" w:rsidRDefault="009577E3" w:rsidP="000561B5">
            <w:pPr>
              <w:spacing w:before="0" w:after="0" w:line="240" w:lineRule="auto"/>
              <w:jc w:val="left"/>
              <w:rPr>
                <w:rFonts w:ascii="Garamond" w:hAnsi="Garamond"/>
                <w:b/>
              </w:rPr>
            </w:pPr>
          </w:p>
          <w:p w14:paraId="29F0173E" w14:textId="77777777" w:rsidR="009577E3" w:rsidRPr="00332CBC" w:rsidRDefault="009577E3" w:rsidP="000561B5">
            <w:pPr>
              <w:spacing w:before="0" w:after="0" w:line="240" w:lineRule="auto"/>
              <w:jc w:val="left"/>
              <w:rPr>
                <w:rFonts w:ascii="Garamond" w:hAnsi="Garamond"/>
                <w:sz w:val="20"/>
                <w:szCs w:val="20"/>
              </w:rPr>
            </w:pPr>
            <w:r w:rsidRPr="00332CBC">
              <w:rPr>
                <w:rFonts w:ascii="Garamond" w:hAnsi="Garamond"/>
                <w:b/>
                <w:sz w:val="20"/>
                <w:szCs w:val="20"/>
              </w:rPr>
              <w:t>South African concessions:</w:t>
            </w:r>
            <w:r w:rsidRPr="00332CBC">
              <w:rPr>
                <w:rFonts w:ascii="Garamond" w:hAnsi="Garamond"/>
                <w:sz w:val="20"/>
                <w:szCs w:val="20"/>
              </w:rPr>
              <w:t xml:space="preserve"> Between 2002 and 2012, tourism concessions and rentals operated by South African National Parks </w:t>
            </w:r>
            <w:r w:rsidRPr="009E5A0C">
              <w:rPr>
                <w:rFonts w:ascii="Garamond" w:hAnsi="Garamond"/>
                <w:sz w:val="20"/>
                <w:szCs w:val="20"/>
              </w:rPr>
              <w:t>generated R492.6 million</w:t>
            </w:r>
            <w:r>
              <w:rPr>
                <w:rFonts w:ascii="Garamond" w:hAnsi="Garamond"/>
                <w:sz w:val="20"/>
                <w:szCs w:val="20"/>
              </w:rPr>
              <w:t xml:space="preserve"> (</w:t>
            </w:r>
            <w:r w:rsidRPr="00332CBC">
              <w:rPr>
                <w:rFonts w:ascii="Garamond" w:hAnsi="Garamond"/>
                <w:sz w:val="20"/>
                <w:szCs w:val="20"/>
              </w:rPr>
              <w:t>USD58 m</w:t>
            </w:r>
            <w:r>
              <w:rPr>
                <w:rFonts w:ascii="Garamond" w:hAnsi="Garamond"/>
                <w:sz w:val="20"/>
                <w:szCs w:val="20"/>
              </w:rPr>
              <w:t>)</w:t>
            </w:r>
            <w:r w:rsidRPr="00332CBC">
              <w:rPr>
                <w:rFonts w:ascii="Garamond" w:hAnsi="Garamond"/>
                <w:sz w:val="20"/>
                <w:szCs w:val="20"/>
              </w:rPr>
              <w:t>. Tourism products included accommodation, canoe trails, houseboats, and the rental of shops and restaurants.</w:t>
            </w:r>
          </w:p>
          <w:p w14:paraId="7AB86B21" w14:textId="77777777" w:rsidR="009577E3" w:rsidRPr="00332CBC" w:rsidRDefault="009577E3" w:rsidP="000561B5">
            <w:pPr>
              <w:spacing w:before="0" w:after="0" w:line="240" w:lineRule="auto"/>
              <w:jc w:val="left"/>
              <w:rPr>
                <w:rFonts w:ascii="Garamond" w:hAnsi="Garamond"/>
                <w:sz w:val="20"/>
                <w:szCs w:val="20"/>
              </w:rPr>
            </w:pPr>
          </w:p>
          <w:p w14:paraId="0FF2C761" w14:textId="77777777" w:rsidR="009577E3" w:rsidRPr="00594BA3" w:rsidRDefault="009577E3" w:rsidP="000561B5">
            <w:pPr>
              <w:spacing w:before="0" w:after="0" w:line="240" w:lineRule="auto"/>
              <w:jc w:val="left"/>
              <w:rPr>
                <w:rFonts w:ascii="Garamond" w:hAnsi="Garamond"/>
                <w:sz w:val="20"/>
                <w:szCs w:val="20"/>
              </w:rPr>
            </w:pPr>
            <w:r w:rsidRPr="00594BA3">
              <w:rPr>
                <w:rFonts w:ascii="Garamond" w:hAnsi="Garamond"/>
                <w:b/>
                <w:sz w:val="20"/>
                <w:szCs w:val="20"/>
              </w:rPr>
              <w:t>Namibia</w:t>
            </w:r>
            <w:r>
              <w:rPr>
                <w:rFonts w:ascii="Garamond" w:hAnsi="Garamond"/>
                <w:b/>
                <w:sz w:val="20"/>
                <w:szCs w:val="20"/>
              </w:rPr>
              <w:t>n concessions</w:t>
            </w:r>
            <w:r w:rsidRPr="00594BA3">
              <w:rPr>
                <w:rFonts w:ascii="Garamond" w:hAnsi="Garamond"/>
                <w:sz w:val="20"/>
                <w:szCs w:val="20"/>
              </w:rPr>
              <w:t xml:space="preserve">: Since 2007 Namibia has granted more than </w:t>
            </w:r>
            <w:r w:rsidRPr="00594BA3">
              <w:rPr>
                <w:rFonts w:ascii="Garamond" w:eastAsia="Calibri" w:hAnsi="Garamond" w:cs="Verdana"/>
                <w:sz w:val="20"/>
                <w:szCs w:val="20"/>
              </w:rPr>
              <w:t xml:space="preserve">10 concessions for tourism to communities </w:t>
            </w:r>
            <w:r>
              <w:rPr>
                <w:rFonts w:ascii="Garamond" w:eastAsia="Calibri" w:hAnsi="Garamond" w:cs="Verdana"/>
                <w:sz w:val="20"/>
                <w:szCs w:val="20"/>
              </w:rPr>
              <w:t>living in or adjacent to</w:t>
            </w:r>
            <w:r w:rsidRPr="00594BA3">
              <w:rPr>
                <w:rFonts w:ascii="Garamond" w:eastAsia="Calibri" w:hAnsi="Garamond" w:cs="Verdana"/>
                <w:sz w:val="20"/>
                <w:szCs w:val="20"/>
              </w:rPr>
              <w:t xml:space="preserve"> protected areas. </w:t>
            </w:r>
            <w:r>
              <w:rPr>
                <w:rFonts w:ascii="Garamond" w:eastAsia="Calibri" w:hAnsi="Garamond" w:cs="Verdana"/>
                <w:sz w:val="20"/>
                <w:szCs w:val="20"/>
              </w:rPr>
              <w:t xml:space="preserve"> These have generated investment of about N$200 million (USD19 m), </w:t>
            </w:r>
            <w:r w:rsidRPr="00594BA3">
              <w:rPr>
                <w:rFonts w:ascii="Garamond" w:eastAsia="Calibri" w:hAnsi="Garamond" w:cs="Verdana"/>
                <w:sz w:val="20"/>
                <w:szCs w:val="20"/>
              </w:rPr>
              <w:t xml:space="preserve">and the State received about </w:t>
            </w:r>
            <w:r>
              <w:rPr>
                <w:rFonts w:ascii="Garamond" w:eastAsia="Calibri" w:hAnsi="Garamond" w:cs="Verdana"/>
                <w:sz w:val="20"/>
                <w:szCs w:val="20"/>
              </w:rPr>
              <w:t>N$11 m (USD1 m) in</w:t>
            </w:r>
            <w:r w:rsidRPr="00594BA3">
              <w:rPr>
                <w:rFonts w:ascii="Garamond" w:eastAsia="Calibri" w:hAnsi="Garamond" w:cs="Verdana"/>
                <w:sz w:val="20"/>
                <w:szCs w:val="20"/>
              </w:rPr>
              <w:t xml:space="preserve"> concession fees.</w:t>
            </w:r>
          </w:p>
          <w:p w14:paraId="6FD78769" w14:textId="77777777" w:rsidR="009577E3" w:rsidRPr="00332CBC" w:rsidRDefault="009577E3" w:rsidP="000561B5">
            <w:pPr>
              <w:spacing w:before="0" w:after="0" w:line="240" w:lineRule="auto"/>
              <w:jc w:val="left"/>
              <w:rPr>
                <w:rFonts w:ascii="Garamond" w:hAnsi="Garamond"/>
                <w:b/>
                <w:sz w:val="20"/>
                <w:szCs w:val="20"/>
              </w:rPr>
            </w:pPr>
          </w:p>
          <w:p w14:paraId="3A72C9AC" w14:textId="77777777" w:rsidR="009577E3" w:rsidRPr="00332CBC" w:rsidRDefault="009577E3" w:rsidP="000561B5">
            <w:pPr>
              <w:spacing w:before="0" w:after="0" w:line="240" w:lineRule="auto"/>
              <w:jc w:val="left"/>
              <w:rPr>
                <w:rFonts w:ascii="Garamond" w:hAnsi="Garamond"/>
                <w:sz w:val="20"/>
                <w:szCs w:val="20"/>
              </w:rPr>
            </w:pPr>
            <w:r>
              <w:rPr>
                <w:rFonts w:ascii="Garamond" w:hAnsi="Garamond"/>
                <w:b/>
                <w:sz w:val="20"/>
                <w:szCs w:val="20"/>
              </w:rPr>
              <w:t xml:space="preserve">Mountain bike event: </w:t>
            </w:r>
            <w:r w:rsidRPr="00332CBC">
              <w:rPr>
                <w:rFonts w:ascii="Garamond" w:hAnsi="Garamond"/>
                <w:b/>
                <w:sz w:val="20"/>
                <w:szCs w:val="20"/>
              </w:rPr>
              <w:t>Tour de Tuli</w:t>
            </w:r>
            <w:r w:rsidRPr="00332CBC">
              <w:rPr>
                <w:rFonts w:ascii="Garamond" w:hAnsi="Garamond"/>
                <w:sz w:val="20"/>
                <w:szCs w:val="20"/>
              </w:rPr>
              <w:t xml:space="preserve">: </w:t>
            </w:r>
            <w:r>
              <w:rPr>
                <w:rFonts w:ascii="Garamond" w:hAnsi="Garamond"/>
                <w:sz w:val="20"/>
                <w:szCs w:val="20"/>
              </w:rPr>
              <w:t>The 300 fee-paying</w:t>
            </w:r>
            <w:r w:rsidRPr="00332CBC">
              <w:rPr>
                <w:rFonts w:ascii="Garamond" w:hAnsi="Garamond"/>
                <w:sz w:val="20"/>
                <w:szCs w:val="20"/>
              </w:rPr>
              <w:t xml:space="preserve"> </w:t>
            </w:r>
            <w:r>
              <w:rPr>
                <w:rFonts w:ascii="Garamond" w:hAnsi="Garamond"/>
                <w:sz w:val="20"/>
                <w:szCs w:val="20"/>
              </w:rPr>
              <w:t xml:space="preserve">cyclists </w:t>
            </w:r>
            <w:r w:rsidRPr="00332CBC">
              <w:rPr>
                <w:rFonts w:ascii="Garamond" w:hAnsi="Garamond"/>
                <w:sz w:val="20"/>
                <w:szCs w:val="20"/>
              </w:rPr>
              <w:t>make a donation of R</w:t>
            </w:r>
            <w:r>
              <w:rPr>
                <w:rFonts w:ascii="Garamond" w:hAnsi="Garamond"/>
                <w:sz w:val="20"/>
                <w:szCs w:val="20"/>
              </w:rPr>
              <w:t>19,800</w:t>
            </w:r>
            <w:r w:rsidRPr="00332CBC">
              <w:rPr>
                <w:rFonts w:ascii="Garamond" w:hAnsi="Garamond"/>
                <w:sz w:val="20"/>
                <w:szCs w:val="20"/>
              </w:rPr>
              <w:t xml:space="preserve"> </w:t>
            </w:r>
            <w:r>
              <w:rPr>
                <w:rFonts w:ascii="Garamond" w:hAnsi="Garamond"/>
                <w:sz w:val="20"/>
                <w:szCs w:val="20"/>
              </w:rPr>
              <w:t>(</w:t>
            </w:r>
            <w:r w:rsidRPr="00A55EC1">
              <w:rPr>
                <w:rFonts w:ascii="Garamond" w:hAnsi="Garamond"/>
                <w:sz w:val="20"/>
                <w:szCs w:val="20"/>
              </w:rPr>
              <w:t>USD</w:t>
            </w:r>
            <w:r>
              <w:rPr>
                <w:rFonts w:ascii="Garamond" w:hAnsi="Garamond"/>
                <w:sz w:val="20"/>
                <w:szCs w:val="20"/>
              </w:rPr>
              <w:t>186</w:t>
            </w:r>
            <w:r w:rsidRPr="00A55EC1">
              <w:rPr>
                <w:rFonts w:ascii="Garamond" w:hAnsi="Garamond"/>
                <w:sz w:val="20"/>
                <w:szCs w:val="20"/>
              </w:rPr>
              <w:t>0)</w:t>
            </w:r>
            <w:r>
              <w:rPr>
                <w:rFonts w:ascii="Garamond" w:hAnsi="Garamond"/>
                <w:sz w:val="20"/>
                <w:szCs w:val="20"/>
              </w:rPr>
              <w:t xml:space="preserve"> </w:t>
            </w:r>
            <w:r w:rsidRPr="00332CBC">
              <w:rPr>
                <w:rFonts w:ascii="Garamond" w:hAnsi="Garamond"/>
                <w:sz w:val="20"/>
                <w:szCs w:val="20"/>
              </w:rPr>
              <w:t xml:space="preserve">to the organizing NGO, Children in the Wilderness (CITW). </w:t>
            </w:r>
            <w:r>
              <w:rPr>
                <w:rFonts w:ascii="Garamond" w:hAnsi="Garamond"/>
                <w:sz w:val="20"/>
                <w:szCs w:val="20"/>
              </w:rPr>
              <w:t xml:space="preserve"> Total income is approximately R5.94 m (USD558,000), and after costs are deducted, CITW retains a profit of between R900,000 and R1 m (USD85,000-95,000).  Between 2005 and 2013, 2369 cyclists raised R11.6 million (USD1.1 m), which supported 5100 children to attend a CITW camp, and for over 2500 children to participate in an Eco-club program in 7 SADC countries. </w:t>
            </w:r>
          </w:p>
          <w:p w14:paraId="60AF8F25" w14:textId="77777777" w:rsidR="009577E3" w:rsidRPr="00332CBC" w:rsidRDefault="009577E3" w:rsidP="000561B5">
            <w:pPr>
              <w:spacing w:before="0" w:after="0" w:line="240" w:lineRule="auto"/>
              <w:jc w:val="left"/>
              <w:rPr>
                <w:rFonts w:ascii="Garamond" w:hAnsi="Garamond"/>
                <w:sz w:val="20"/>
                <w:szCs w:val="20"/>
              </w:rPr>
            </w:pPr>
          </w:p>
          <w:p w14:paraId="4A13591B" w14:textId="105B6762" w:rsidR="009577E3" w:rsidRDefault="009577E3" w:rsidP="000561B5">
            <w:pPr>
              <w:spacing w:before="0" w:after="0" w:line="240" w:lineRule="auto"/>
              <w:jc w:val="left"/>
              <w:rPr>
                <w:rFonts w:ascii="Garamond" w:hAnsi="Garamond"/>
                <w:sz w:val="20"/>
                <w:szCs w:val="20"/>
              </w:rPr>
            </w:pPr>
            <w:r>
              <w:rPr>
                <w:rFonts w:ascii="Garamond" w:hAnsi="Garamond"/>
                <w:b/>
                <w:sz w:val="20"/>
                <w:szCs w:val="20"/>
              </w:rPr>
              <w:t xml:space="preserve">Mountain bike/Canoe event: </w:t>
            </w:r>
            <w:r w:rsidRPr="00332CBC">
              <w:rPr>
                <w:rFonts w:ascii="Garamond" w:hAnsi="Garamond"/>
                <w:b/>
                <w:sz w:val="20"/>
                <w:szCs w:val="20"/>
              </w:rPr>
              <w:t>Desert Knights</w:t>
            </w:r>
            <w:r w:rsidRPr="00332CBC">
              <w:rPr>
                <w:rFonts w:ascii="Garamond" w:hAnsi="Garamond"/>
                <w:sz w:val="20"/>
                <w:szCs w:val="20"/>
              </w:rPr>
              <w:t xml:space="preserve">:  100 participants pay R9500 </w:t>
            </w:r>
            <w:r>
              <w:rPr>
                <w:rFonts w:ascii="Garamond" w:hAnsi="Garamond"/>
                <w:sz w:val="20"/>
                <w:szCs w:val="20"/>
              </w:rPr>
              <w:t>(</w:t>
            </w:r>
            <w:r w:rsidRPr="00A55EC1">
              <w:rPr>
                <w:rFonts w:ascii="Garamond" w:hAnsi="Garamond"/>
                <w:sz w:val="20"/>
                <w:szCs w:val="20"/>
              </w:rPr>
              <w:t>USD900)</w:t>
            </w:r>
            <w:r>
              <w:rPr>
                <w:rFonts w:ascii="Garamond" w:hAnsi="Garamond"/>
                <w:sz w:val="20"/>
                <w:szCs w:val="20"/>
              </w:rPr>
              <w:t xml:space="preserve"> </w:t>
            </w:r>
            <w:r w:rsidRPr="00332CBC">
              <w:rPr>
                <w:rFonts w:ascii="Garamond" w:hAnsi="Garamond"/>
                <w:sz w:val="20"/>
                <w:szCs w:val="20"/>
              </w:rPr>
              <w:t>each to participate. This is mainly used to pay for expenses relating to organizing the tour, including marketing, food and drinks, fuel etc.  The profit of around R180,000</w:t>
            </w:r>
            <w:r>
              <w:rPr>
                <w:rFonts w:ascii="Garamond" w:hAnsi="Garamond"/>
                <w:sz w:val="20"/>
                <w:szCs w:val="20"/>
              </w:rPr>
              <w:t xml:space="preserve"> (</w:t>
            </w:r>
            <w:r w:rsidRPr="00A55EC1">
              <w:rPr>
                <w:rFonts w:ascii="Garamond" w:hAnsi="Garamond"/>
                <w:sz w:val="20"/>
                <w:szCs w:val="20"/>
              </w:rPr>
              <w:t>USD16,900)</w:t>
            </w:r>
            <w:r w:rsidRPr="00332CBC">
              <w:rPr>
                <w:rFonts w:ascii="Garamond" w:hAnsi="Garamond"/>
                <w:sz w:val="20"/>
                <w:szCs w:val="20"/>
              </w:rPr>
              <w:t xml:space="preserve"> is held in an operating account for the /Ai/Ais Richtersveld Transfrontier Park, and spent on joint operations by Namibia and South Africa.</w:t>
            </w:r>
            <w:r>
              <w:rPr>
                <w:rFonts w:ascii="Garamond" w:hAnsi="Garamond"/>
                <w:sz w:val="20"/>
                <w:szCs w:val="20"/>
              </w:rPr>
              <w:t xml:space="preserve"> </w:t>
            </w:r>
            <w:r w:rsidRPr="005A10BB">
              <w:rPr>
                <w:rFonts w:ascii="Garamond" w:hAnsi="Garamond"/>
                <w:sz w:val="20"/>
                <w:szCs w:val="20"/>
                <w:highlight w:val="yellow"/>
              </w:rPr>
              <w:t>(</w:t>
            </w:r>
            <w:r w:rsidR="00FE2B99">
              <w:rPr>
                <w:rFonts w:ascii="Garamond" w:hAnsi="Garamond"/>
                <w:sz w:val="20"/>
                <w:szCs w:val="20"/>
                <w:highlight w:val="yellow"/>
              </w:rPr>
              <w:t>expenses?</w:t>
            </w:r>
            <w:r w:rsidRPr="005A10BB">
              <w:rPr>
                <w:rFonts w:ascii="Garamond" w:hAnsi="Garamond"/>
                <w:sz w:val="20"/>
                <w:szCs w:val="20"/>
                <w:highlight w:val="yellow"/>
              </w:rPr>
              <w:t>)</w:t>
            </w:r>
          </w:p>
          <w:p w14:paraId="634E3267" w14:textId="77777777" w:rsidR="009577E3" w:rsidRPr="009B35B4" w:rsidRDefault="009577E3" w:rsidP="000561B5">
            <w:pPr>
              <w:spacing w:before="0" w:after="0" w:line="240" w:lineRule="auto"/>
              <w:jc w:val="left"/>
              <w:rPr>
                <w:rFonts w:ascii="Garamond" w:hAnsi="Garamond"/>
              </w:rPr>
            </w:pPr>
          </w:p>
        </w:tc>
      </w:tr>
    </w:tbl>
    <w:p w14:paraId="2D25A73D" w14:textId="77777777" w:rsidR="009577E3" w:rsidRDefault="009577E3" w:rsidP="009577E3">
      <w:pPr>
        <w:spacing w:before="0" w:after="0" w:line="240" w:lineRule="auto"/>
        <w:rPr>
          <w:rFonts w:ascii="Garamond" w:hAnsi="Garamond"/>
        </w:rPr>
      </w:pPr>
    </w:p>
    <w:p w14:paraId="188D9A8A" w14:textId="77777777" w:rsidR="009577E3" w:rsidRDefault="009577E3" w:rsidP="009577E3">
      <w:pPr>
        <w:spacing w:before="0" w:after="0" w:line="240" w:lineRule="auto"/>
        <w:rPr>
          <w:rFonts w:ascii="Garamond" w:hAnsi="Garamond"/>
        </w:rPr>
      </w:pPr>
      <w:r>
        <w:rPr>
          <w:rFonts w:ascii="Garamond" w:hAnsi="Garamond"/>
        </w:rPr>
        <w:t xml:space="preserve">A </w:t>
      </w:r>
      <w:r w:rsidRPr="008C098D">
        <w:rPr>
          <w:rFonts w:ascii="Garamond" w:hAnsi="Garamond"/>
          <w:b/>
        </w:rPr>
        <w:t>situational analysis of tourism</w:t>
      </w:r>
      <w:r>
        <w:rPr>
          <w:rFonts w:ascii="Garamond" w:hAnsi="Garamond"/>
          <w:b/>
        </w:rPr>
        <w:t xml:space="preserve"> </w:t>
      </w:r>
      <w:r w:rsidRPr="00097E63">
        <w:rPr>
          <w:rFonts w:ascii="Garamond" w:hAnsi="Garamond"/>
        </w:rPr>
        <w:t>should be undertaken</w:t>
      </w:r>
      <w:r>
        <w:rPr>
          <w:rFonts w:ascii="Garamond" w:hAnsi="Garamond"/>
        </w:rPr>
        <w:t xml:space="preserve"> through a review of literature and consultation with key stakeholders within authorities and the private sector. This should include a supply and demand assessment:</w:t>
      </w:r>
    </w:p>
    <w:p w14:paraId="0B6E6FA3" w14:textId="77777777" w:rsidR="009577E3" w:rsidRDefault="009577E3" w:rsidP="009577E3">
      <w:pPr>
        <w:spacing w:before="0" w:after="0" w:line="240" w:lineRule="auto"/>
        <w:rPr>
          <w:rFonts w:ascii="Garamond" w:hAnsi="Garamond"/>
        </w:rPr>
      </w:pPr>
    </w:p>
    <w:p w14:paraId="26BD68FA" w14:textId="77777777" w:rsidR="009577E3" w:rsidRPr="008C098D" w:rsidRDefault="009577E3" w:rsidP="00F47607">
      <w:pPr>
        <w:pStyle w:val="ListParagraph"/>
        <w:numPr>
          <w:ilvl w:val="0"/>
          <w:numId w:val="11"/>
        </w:numPr>
        <w:spacing w:before="0" w:after="0" w:line="240" w:lineRule="auto"/>
        <w:rPr>
          <w:rFonts w:ascii="Garamond" w:hAnsi="Garamond"/>
        </w:rPr>
      </w:pPr>
      <w:r w:rsidRPr="009823B2">
        <w:rPr>
          <w:rFonts w:ascii="Garamond" w:hAnsi="Garamond"/>
          <w:b/>
        </w:rPr>
        <w:t>Demand</w:t>
      </w:r>
      <w:r w:rsidRPr="008C098D">
        <w:rPr>
          <w:rFonts w:ascii="Garamond" w:hAnsi="Garamond"/>
        </w:rPr>
        <w:t xml:space="preserve">: </w:t>
      </w:r>
      <w:r>
        <w:rPr>
          <w:rFonts w:ascii="Garamond" w:hAnsi="Garamond"/>
        </w:rPr>
        <w:t>Collate information on n</w:t>
      </w:r>
      <w:r w:rsidRPr="008C098D">
        <w:rPr>
          <w:rFonts w:ascii="Garamond" w:hAnsi="Garamond"/>
        </w:rPr>
        <w:t>ational and destination statistics on numbers of arrivals, source markets, demographics, length of stay, expenditure, occupancies, type of accommodation used, destinations visited, activities undertaken, trends.</w:t>
      </w:r>
    </w:p>
    <w:p w14:paraId="4B711177" w14:textId="77777777" w:rsidR="009577E3" w:rsidRDefault="009577E3" w:rsidP="00F47607">
      <w:pPr>
        <w:pStyle w:val="ListParagraph"/>
        <w:numPr>
          <w:ilvl w:val="0"/>
          <w:numId w:val="11"/>
        </w:numPr>
        <w:spacing w:before="0" w:after="0" w:line="240" w:lineRule="auto"/>
        <w:rPr>
          <w:rFonts w:ascii="Garamond" w:hAnsi="Garamond"/>
        </w:rPr>
      </w:pPr>
      <w:r w:rsidRPr="009823B2">
        <w:rPr>
          <w:rFonts w:ascii="Garamond" w:hAnsi="Garamond"/>
          <w:b/>
        </w:rPr>
        <w:t>Supply</w:t>
      </w:r>
      <w:r>
        <w:rPr>
          <w:rFonts w:ascii="Garamond" w:hAnsi="Garamond"/>
          <w:b/>
        </w:rPr>
        <w:t xml:space="preserve">: </w:t>
      </w:r>
      <w:r>
        <w:rPr>
          <w:rFonts w:ascii="Garamond" w:hAnsi="Garamond"/>
        </w:rPr>
        <w:t>Review information on e</w:t>
      </w:r>
      <w:r w:rsidRPr="008C098D">
        <w:rPr>
          <w:rFonts w:ascii="Garamond" w:hAnsi="Garamond"/>
        </w:rPr>
        <w:t>xisting accommodation (including number, type, capacity, quality, rates), tour operations/guides, restaurants, transport, information and planned new tourism products</w:t>
      </w:r>
      <w:r>
        <w:rPr>
          <w:rFonts w:ascii="Garamond" w:hAnsi="Garamond"/>
        </w:rPr>
        <w:t xml:space="preserve">, attractions (see </w:t>
      </w:r>
      <w:r w:rsidRPr="002A17A7">
        <w:rPr>
          <w:rFonts w:ascii="Garamond" w:hAnsi="Garamond"/>
        </w:rPr>
        <w:fldChar w:fldCharType="begin"/>
      </w:r>
      <w:r w:rsidRPr="002A17A7">
        <w:rPr>
          <w:rFonts w:ascii="Garamond" w:hAnsi="Garamond"/>
        </w:rPr>
        <w:instrText xml:space="preserve"> REF _Ref269375470 \h </w:instrText>
      </w:r>
      <w:r w:rsidRPr="002A17A7">
        <w:rPr>
          <w:rFonts w:ascii="Garamond" w:hAnsi="Garamond"/>
        </w:rPr>
      </w:r>
      <w:r w:rsidRPr="002A17A7">
        <w:rPr>
          <w:rFonts w:ascii="Garamond" w:hAnsi="Garamond"/>
        </w:rPr>
        <w:fldChar w:fldCharType="separate"/>
      </w:r>
      <w:r w:rsidR="002A17A7" w:rsidRPr="002A17A7">
        <w:rPr>
          <w:rFonts w:ascii="Garamond" w:hAnsi="Garamond"/>
        </w:rPr>
        <w:t xml:space="preserve">Table </w:t>
      </w:r>
      <w:r w:rsidR="002A17A7" w:rsidRPr="002A17A7">
        <w:rPr>
          <w:rFonts w:ascii="Garamond" w:hAnsi="Garamond"/>
          <w:noProof/>
        </w:rPr>
        <w:t>4</w:t>
      </w:r>
      <w:r w:rsidRPr="002A17A7">
        <w:rPr>
          <w:rFonts w:ascii="Garamond" w:hAnsi="Garamond"/>
        </w:rPr>
        <w:fldChar w:fldCharType="end"/>
      </w:r>
      <w:r w:rsidRPr="002A17A7">
        <w:rPr>
          <w:rFonts w:ascii="Garamond" w:hAnsi="Garamond"/>
        </w:rPr>
        <w:t>),</w:t>
      </w:r>
      <w:r>
        <w:rPr>
          <w:rFonts w:ascii="Garamond" w:hAnsi="Garamond"/>
        </w:rPr>
        <w:t xml:space="preserve"> and competing destinations and products. </w:t>
      </w:r>
    </w:p>
    <w:p w14:paraId="4BB7E97B" w14:textId="77777777" w:rsidR="009577E3" w:rsidRPr="008C098D" w:rsidRDefault="009577E3" w:rsidP="009577E3">
      <w:pPr>
        <w:pStyle w:val="ListParagraph"/>
        <w:spacing w:before="0" w:after="0" w:line="240" w:lineRule="auto"/>
        <w:rPr>
          <w:rFonts w:ascii="Garamond" w:hAnsi="Garamond"/>
        </w:rPr>
      </w:pPr>
    </w:p>
    <w:p w14:paraId="6984F90F" w14:textId="77777777" w:rsidR="009577E3" w:rsidRPr="00E7110D" w:rsidRDefault="009577E3" w:rsidP="009577E3">
      <w:pPr>
        <w:spacing w:before="0" w:after="0" w:line="240" w:lineRule="auto"/>
        <w:rPr>
          <w:rFonts w:ascii="Garamond" w:hAnsi="Garamond"/>
          <w:b/>
        </w:rPr>
      </w:pPr>
      <w:bookmarkStart w:id="52" w:name="_Ref269375470"/>
      <w:bookmarkStart w:id="53" w:name="_Toc269636034"/>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sidR="002A17A7">
        <w:rPr>
          <w:rFonts w:ascii="Garamond" w:hAnsi="Garamond"/>
          <w:b/>
          <w:noProof/>
        </w:rPr>
        <w:t>4</w:t>
      </w:r>
      <w:r w:rsidRPr="00E7110D">
        <w:rPr>
          <w:rFonts w:ascii="Garamond" w:hAnsi="Garamond"/>
          <w:b/>
          <w:noProof/>
        </w:rPr>
        <w:fldChar w:fldCharType="end"/>
      </w:r>
      <w:bookmarkEnd w:id="52"/>
      <w:r w:rsidRPr="00E7110D">
        <w:rPr>
          <w:rFonts w:ascii="Garamond" w:hAnsi="Garamond"/>
          <w:b/>
        </w:rPr>
        <w:t xml:space="preserve">: Tourism </w:t>
      </w:r>
      <w:r>
        <w:rPr>
          <w:rFonts w:ascii="Garamond" w:hAnsi="Garamond"/>
          <w:b/>
        </w:rPr>
        <w:t>attractions and examples in SADC TFCAs</w:t>
      </w:r>
      <w:bookmarkEnd w:id="53"/>
    </w:p>
    <w:tbl>
      <w:tblPr>
        <w:tblStyle w:val="TableGrid"/>
        <w:tblW w:w="0" w:type="auto"/>
        <w:tblLook w:val="04A0" w:firstRow="1" w:lastRow="0" w:firstColumn="1" w:lastColumn="0" w:noHBand="0" w:noVBand="1"/>
      </w:tblPr>
      <w:tblGrid>
        <w:gridCol w:w="1951"/>
        <w:gridCol w:w="7229"/>
      </w:tblGrid>
      <w:tr w:rsidR="009577E3" w:rsidRPr="00C76BA0" w14:paraId="48B0CE71" w14:textId="77777777" w:rsidTr="000561B5">
        <w:tc>
          <w:tcPr>
            <w:tcW w:w="1951" w:type="dxa"/>
          </w:tcPr>
          <w:p w14:paraId="2D53AB70" w14:textId="77777777" w:rsidR="009577E3" w:rsidRPr="001D77AD" w:rsidRDefault="009577E3" w:rsidP="000561B5">
            <w:pPr>
              <w:spacing w:before="0" w:after="0" w:line="240" w:lineRule="auto"/>
              <w:jc w:val="left"/>
              <w:rPr>
                <w:rFonts w:ascii="Garamond" w:hAnsi="Garamond"/>
                <w:b/>
                <w:sz w:val="20"/>
                <w:szCs w:val="20"/>
              </w:rPr>
            </w:pPr>
            <w:r w:rsidRPr="001D77AD">
              <w:rPr>
                <w:rFonts w:ascii="Garamond" w:hAnsi="Garamond"/>
                <w:b/>
                <w:sz w:val="20"/>
                <w:szCs w:val="20"/>
              </w:rPr>
              <w:t xml:space="preserve">Tourism </w:t>
            </w:r>
            <w:r>
              <w:rPr>
                <w:rFonts w:ascii="Garamond" w:hAnsi="Garamond"/>
                <w:b/>
                <w:sz w:val="20"/>
                <w:szCs w:val="20"/>
              </w:rPr>
              <w:t>attractions</w:t>
            </w:r>
          </w:p>
        </w:tc>
        <w:tc>
          <w:tcPr>
            <w:tcW w:w="7229" w:type="dxa"/>
          </w:tcPr>
          <w:p w14:paraId="7DE4AC3E" w14:textId="77777777" w:rsidR="009577E3" w:rsidRPr="00CF6D07" w:rsidRDefault="009577E3" w:rsidP="000561B5">
            <w:pPr>
              <w:spacing w:before="0" w:after="0" w:line="240" w:lineRule="auto"/>
              <w:rPr>
                <w:rFonts w:ascii="Garamond" w:hAnsi="Garamond"/>
                <w:b/>
                <w:sz w:val="20"/>
                <w:szCs w:val="20"/>
              </w:rPr>
            </w:pPr>
            <w:r w:rsidRPr="00CF6D07">
              <w:rPr>
                <w:rFonts w:ascii="Garamond" w:hAnsi="Garamond"/>
                <w:b/>
                <w:sz w:val="20"/>
                <w:szCs w:val="20"/>
              </w:rPr>
              <w:t xml:space="preserve">Examples from </w:t>
            </w:r>
            <w:r>
              <w:rPr>
                <w:rFonts w:ascii="Garamond" w:hAnsi="Garamond"/>
                <w:b/>
                <w:sz w:val="20"/>
                <w:szCs w:val="20"/>
              </w:rPr>
              <w:t>TFCAs in SADC</w:t>
            </w:r>
          </w:p>
        </w:tc>
      </w:tr>
      <w:tr w:rsidR="009577E3" w14:paraId="107185E7" w14:textId="77777777" w:rsidTr="000561B5">
        <w:tc>
          <w:tcPr>
            <w:tcW w:w="1951" w:type="dxa"/>
          </w:tcPr>
          <w:p w14:paraId="41ECB212"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Landscape</w:t>
            </w:r>
          </w:p>
        </w:tc>
        <w:tc>
          <w:tcPr>
            <w:tcW w:w="7229" w:type="dxa"/>
          </w:tcPr>
          <w:p w14:paraId="30784165"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 xml:space="preserve">Waterfalls like </w:t>
            </w:r>
            <w:r>
              <w:rPr>
                <w:rFonts w:ascii="Garamond" w:hAnsi="Garamond"/>
                <w:sz w:val="20"/>
                <w:szCs w:val="20"/>
              </w:rPr>
              <w:t xml:space="preserve">Victoria Falls in the Kavango Zambezi TFCA; </w:t>
            </w:r>
            <w:r w:rsidRPr="00CF6D07">
              <w:rPr>
                <w:rFonts w:ascii="Garamond" w:hAnsi="Garamond"/>
                <w:sz w:val="20"/>
                <w:szCs w:val="20"/>
              </w:rPr>
              <w:t xml:space="preserve">desert features in the </w:t>
            </w:r>
            <w:r>
              <w:rPr>
                <w:rFonts w:ascii="Garamond" w:hAnsi="Garamond"/>
                <w:sz w:val="20"/>
                <w:szCs w:val="20"/>
              </w:rPr>
              <w:t xml:space="preserve">Ai/Ais Richtersveld TFCA; </w:t>
            </w:r>
            <w:r w:rsidRPr="00CF6D07">
              <w:rPr>
                <w:rFonts w:ascii="Garamond" w:hAnsi="Garamond"/>
                <w:sz w:val="20"/>
                <w:szCs w:val="20"/>
              </w:rPr>
              <w:t>mountain ranges</w:t>
            </w:r>
            <w:r>
              <w:rPr>
                <w:rFonts w:ascii="Garamond" w:hAnsi="Garamond"/>
                <w:sz w:val="20"/>
                <w:szCs w:val="20"/>
              </w:rPr>
              <w:t xml:space="preserve"> of the Maloti-Drakensberg</w:t>
            </w:r>
            <w:r w:rsidRPr="00CF6D07">
              <w:rPr>
                <w:rFonts w:ascii="Garamond" w:hAnsi="Garamond"/>
                <w:sz w:val="20"/>
                <w:szCs w:val="20"/>
              </w:rPr>
              <w:t xml:space="preserve"> </w:t>
            </w:r>
            <w:r>
              <w:rPr>
                <w:rFonts w:ascii="Garamond" w:hAnsi="Garamond"/>
                <w:sz w:val="20"/>
                <w:szCs w:val="20"/>
              </w:rPr>
              <w:t>TFCA</w:t>
            </w:r>
          </w:p>
        </w:tc>
      </w:tr>
      <w:tr w:rsidR="009577E3" w14:paraId="73556634" w14:textId="77777777" w:rsidTr="000561B5">
        <w:tc>
          <w:tcPr>
            <w:tcW w:w="1951" w:type="dxa"/>
          </w:tcPr>
          <w:p w14:paraId="6E2AA9F5"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Wildlife</w:t>
            </w:r>
          </w:p>
        </w:tc>
        <w:tc>
          <w:tcPr>
            <w:tcW w:w="7229" w:type="dxa"/>
          </w:tcPr>
          <w:p w14:paraId="75C7214C" w14:textId="77777777" w:rsidR="009577E3" w:rsidRPr="00CF6D07" w:rsidRDefault="009577E3" w:rsidP="000561B5">
            <w:pPr>
              <w:spacing w:before="0" w:after="0" w:line="240" w:lineRule="auto"/>
              <w:rPr>
                <w:rFonts w:ascii="Garamond" w:hAnsi="Garamond"/>
                <w:sz w:val="20"/>
                <w:szCs w:val="20"/>
              </w:rPr>
            </w:pPr>
            <w:r>
              <w:rPr>
                <w:rFonts w:ascii="Garamond" w:hAnsi="Garamond"/>
                <w:sz w:val="20"/>
                <w:szCs w:val="20"/>
              </w:rPr>
              <w:t>The ‘</w:t>
            </w:r>
            <w:r w:rsidRPr="00CF6D07">
              <w:rPr>
                <w:rFonts w:ascii="Garamond" w:hAnsi="Garamond"/>
                <w:sz w:val="20"/>
                <w:szCs w:val="20"/>
              </w:rPr>
              <w:t>Big 5’ of elephant, rhino, buffalo, lion and leopard</w:t>
            </w:r>
            <w:r>
              <w:rPr>
                <w:rFonts w:ascii="Garamond" w:hAnsi="Garamond"/>
                <w:sz w:val="20"/>
                <w:szCs w:val="20"/>
              </w:rPr>
              <w:t xml:space="preserve"> in terrestrial TFCAs</w:t>
            </w:r>
            <w:r w:rsidRPr="00CF6D07">
              <w:rPr>
                <w:rFonts w:ascii="Garamond" w:hAnsi="Garamond"/>
                <w:sz w:val="20"/>
                <w:szCs w:val="20"/>
              </w:rPr>
              <w:t>; whales and dolphins in marine protected areas</w:t>
            </w:r>
          </w:p>
        </w:tc>
      </w:tr>
      <w:tr w:rsidR="009577E3" w:rsidRPr="00C76BA0" w14:paraId="31AA7806" w14:textId="77777777" w:rsidTr="000561B5">
        <w:tc>
          <w:tcPr>
            <w:tcW w:w="1951" w:type="dxa"/>
          </w:tcPr>
          <w:p w14:paraId="2E3ED400"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Plant life</w:t>
            </w:r>
          </w:p>
        </w:tc>
        <w:tc>
          <w:tcPr>
            <w:tcW w:w="7229" w:type="dxa"/>
          </w:tcPr>
          <w:p w14:paraId="3B57C843" w14:textId="77777777" w:rsidR="009577E3" w:rsidRPr="00CF6D07" w:rsidRDefault="009577E3" w:rsidP="000561B5">
            <w:pPr>
              <w:spacing w:before="0" w:after="0" w:line="240" w:lineRule="auto"/>
              <w:rPr>
                <w:rFonts w:ascii="Garamond" w:hAnsi="Garamond"/>
                <w:sz w:val="20"/>
                <w:szCs w:val="20"/>
              </w:rPr>
            </w:pPr>
            <w:r>
              <w:rPr>
                <w:rFonts w:ascii="Garamond" w:hAnsi="Garamond"/>
                <w:sz w:val="20"/>
                <w:szCs w:val="20"/>
              </w:rPr>
              <w:t xml:space="preserve">Endemic and unusual plants of the Ai/Ais Richtersveld TFCA including aloes, succulents, daisies, the ‘halfmens’.  </w:t>
            </w:r>
          </w:p>
        </w:tc>
      </w:tr>
      <w:tr w:rsidR="009577E3" w:rsidRPr="00C76BA0" w14:paraId="46BFA1F4" w14:textId="77777777" w:rsidTr="000561B5">
        <w:tc>
          <w:tcPr>
            <w:tcW w:w="1951" w:type="dxa"/>
          </w:tcPr>
          <w:p w14:paraId="73CB552B"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Indigenous culture</w:t>
            </w:r>
          </w:p>
        </w:tc>
        <w:tc>
          <w:tcPr>
            <w:tcW w:w="7229" w:type="dxa"/>
          </w:tcPr>
          <w:p w14:paraId="5A8F4E67"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Traditional dress, food, music dance, stories and craft</w:t>
            </w:r>
          </w:p>
        </w:tc>
      </w:tr>
      <w:tr w:rsidR="009577E3" w:rsidRPr="00C76BA0" w14:paraId="3E782F30" w14:textId="77777777" w:rsidTr="000561B5">
        <w:tc>
          <w:tcPr>
            <w:tcW w:w="1951" w:type="dxa"/>
          </w:tcPr>
          <w:p w14:paraId="40B4F3FE"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Historical sites</w:t>
            </w:r>
          </w:p>
        </w:tc>
        <w:tc>
          <w:tcPr>
            <w:tcW w:w="7229" w:type="dxa"/>
          </w:tcPr>
          <w:p w14:paraId="790135C1"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Buildings and monuments and sites of religious significance</w:t>
            </w:r>
            <w:r>
              <w:rPr>
                <w:rFonts w:ascii="Garamond" w:hAnsi="Garamond"/>
                <w:sz w:val="20"/>
                <w:szCs w:val="20"/>
              </w:rPr>
              <w:t>, such as the archaeology and rock art of Tsodilo Hills, a World Heritage Site, in the Botswanan part of the Kavango Zambezi TFCA</w:t>
            </w:r>
          </w:p>
        </w:tc>
      </w:tr>
    </w:tbl>
    <w:p w14:paraId="23B72ADE" w14:textId="77777777" w:rsidR="009577E3" w:rsidRDefault="009577E3" w:rsidP="009577E3">
      <w:pPr>
        <w:spacing w:before="0" w:after="0" w:line="240" w:lineRule="auto"/>
        <w:rPr>
          <w:rFonts w:ascii="Garamond" w:hAnsi="Garamond"/>
        </w:rPr>
      </w:pPr>
    </w:p>
    <w:p w14:paraId="44F445BD" w14:textId="77777777" w:rsidR="009577E3" w:rsidRDefault="009577E3" w:rsidP="009577E3">
      <w:pPr>
        <w:spacing w:before="0" w:after="0" w:line="240" w:lineRule="auto"/>
        <w:rPr>
          <w:rFonts w:ascii="Garamond" w:hAnsi="Garamond"/>
        </w:rPr>
      </w:pPr>
      <w:r>
        <w:rPr>
          <w:rFonts w:ascii="Garamond" w:hAnsi="Garamond"/>
        </w:rPr>
        <w:t xml:space="preserve">Early </w:t>
      </w:r>
      <w:r w:rsidRPr="00CA6C44">
        <w:rPr>
          <w:rFonts w:ascii="Garamond" w:hAnsi="Garamond"/>
          <w:b/>
        </w:rPr>
        <w:t>consultation with the private sector</w:t>
      </w:r>
      <w:r>
        <w:rPr>
          <w:rFonts w:ascii="Garamond" w:hAnsi="Garamond"/>
        </w:rPr>
        <w:t xml:space="preserve"> will help establish whether there is interest in the concession opportunities:</w:t>
      </w:r>
    </w:p>
    <w:p w14:paraId="6A243B40"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rPr>
        <w:t xml:space="preserve">Develop a </w:t>
      </w:r>
      <w:r w:rsidRPr="009823B2">
        <w:rPr>
          <w:rFonts w:ascii="Garamond" w:hAnsi="Garamond"/>
          <w:b/>
        </w:rPr>
        <w:t xml:space="preserve">database </w:t>
      </w:r>
      <w:r w:rsidRPr="009823B2">
        <w:rPr>
          <w:rFonts w:ascii="Garamond" w:hAnsi="Garamond"/>
        </w:rPr>
        <w:t xml:space="preserve">of local and regional tourism investors and operators who already have similar products to the concessions that will be offered.  </w:t>
      </w:r>
    </w:p>
    <w:p w14:paraId="0B01ED0E"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b/>
        </w:rPr>
        <w:lastRenderedPageBreak/>
        <w:t>Discuss with a selection of the potential investors</w:t>
      </w:r>
      <w:r w:rsidRPr="009823B2">
        <w:rPr>
          <w:rFonts w:ascii="Garamond" w:hAnsi="Garamond"/>
        </w:rPr>
        <w:t xml:space="preserve"> whether the proposed concession sites and product types are of interest to them; competing sites and destinations; whether they would </w:t>
      </w:r>
      <w:r>
        <w:rPr>
          <w:rFonts w:ascii="Garamond" w:hAnsi="Garamond"/>
        </w:rPr>
        <w:t xml:space="preserve">apply </w:t>
      </w:r>
      <w:r w:rsidRPr="009823B2">
        <w:rPr>
          <w:rFonts w:ascii="Garamond" w:hAnsi="Garamond"/>
        </w:rPr>
        <w:t xml:space="preserve">for a concession if </w:t>
      </w:r>
      <w:r>
        <w:rPr>
          <w:rFonts w:ascii="Garamond" w:hAnsi="Garamond"/>
        </w:rPr>
        <w:t>it became available</w:t>
      </w:r>
      <w:r w:rsidRPr="009823B2">
        <w:rPr>
          <w:rFonts w:ascii="Garamond" w:hAnsi="Garamond"/>
        </w:rPr>
        <w:t>;</w:t>
      </w:r>
      <w:r>
        <w:rPr>
          <w:rFonts w:ascii="Garamond" w:hAnsi="Garamond"/>
        </w:rPr>
        <w:t xml:space="preserve"> whether they would bid in a tender process;</w:t>
      </w:r>
      <w:r w:rsidRPr="009823B2">
        <w:rPr>
          <w:rFonts w:ascii="Garamond" w:hAnsi="Garamond"/>
        </w:rPr>
        <w:t xml:space="preserve"> what capital they would invest; whether the levels of infrastructure (i.e. air access, roads, power, communication) are </w:t>
      </w:r>
      <w:r>
        <w:rPr>
          <w:rFonts w:ascii="Garamond" w:hAnsi="Garamond"/>
        </w:rPr>
        <w:t>viable</w:t>
      </w:r>
      <w:r w:rsidRPr="009823B2">
        <w:rPr>
          <w:rFonts w:ascii="Garamond" w:hAnsi="Garamond"/>
        </w:rPr>
        <w:t xml:space="preserve">; whether the concession model proposed is attractive; and what challenges they anticipate. </w:t>
      </w:r>
    </w:p>
    <w:p w14:paraId="63EFEDA7"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rPr>
        <w:t xml:space="preserve">During this consultation, it is important to </w:t>
      </w:r>
      <w:r w:rsidRPr="009823B2">
        <w:rPr>
          <w:rFonts w:ascii="Garamond" w:hAnsi="Garamond"/>
          <w:b/>
        </w:rPr>
        <w:t>share information</w:t>
      </w:r>
      <w:r w:rsidRPr="009823B2">
        <w:rPr>
          <w:rFonts w:ascii="Garamond" w:hAnsi="Garamond"/>
        </w:rPr>
        <w:t xml:space="preserve"> with investors on the likely fee structure; incentives; land tenure; environmental issues and community involvement. </w:t>
      </w:r>
      <w:r>
        <w:rPr>
          <w:rFonts w:ascii="Garamond" w:hAnsi="Garamond"/>
        </w:rPr>
        <w:t xml:space="preserve"> Feedback on these elements can be used to shape the procurement strategy, deal structure and investment promotion strategy. </w:t>
      </w:r>
    </w:p>
    <w:p w14:paraId="067D0905" w14:textId="77777777" w:rsidR="009577E3" w:rsidRDefault="009577E3" w:rsidP="009577E3">
      <w:pPr>
        <w:spacing w:before="0" w:after="0" w:line="240" w:lineRule="auto"/>
        <w:rPr>
          <w:rFonts w:ascii="Garamond" w:hAnsi="Garamond"/>
        </w:rPr>
      </w:pPr>
    </w:p>
    <w:p w14:paraId="05CFC722" w14:textId="60A5E81E" w:rsidR="009577E3" w:rsidRPr="00A825C6" w:rsidRDefault="009577E3" w:rsidP="009577E3">
      <w:pPr>
        <w:spacing w:before="0" w:after="0" w:line="240" w:lineRule="auto"/>
        <w:rPr>
          <w:rFonts w:ascii="Garamond" w:hAnsi="Garamond"/>
        </w:rPr>
      </w:pPr>
      <w:r>
        <w:rPr>
          <w:rFonts w:ascii="Garamond" w:hAnsi="Garamond"/>
        </w:rPr>
        <w:t xml:space="preserve">Building on the information collected, it is useful to develop a </w:t>
      </w:r>
      <w:r w:rsidRPr="00CA6C44">
        <w:rPr>
          <w:rFonts w:ascii="Garamond" w:hAnsi="Garamond"/>
          <w:b/>
        </w:rPr>
        <w:t>high-level business plan</w:t>
      </w:r>
      <w:r>
        <w:rPr>
          <w:rFonts w:ascii="Garamond" w:hAnsi="Garamond"/>
          <w:b/>
        </w:rPr>
        <w:t xml:space="preserve"> </w:t>
      </w:r>
      <w:r w:rsidR="00A825C6" w:rsidRPr="00A825C6">
        <w:rPr>
          <w:rFonts w:ascii="Garamond" w:hAnsi="Garamond"/>
        </w:rPr>
        <w:t xml:space="preserve">to guide the procurement strategy, </w:t>
      </w:r>
      <w:r w:rsidRPr="00A825C6">
        <w:rPr>
          <w:rFonts w:ascii="Garamond" w:hAnsi="Garamond"/>
        </w:rPr>
        <w:t xml:space="preserve">including the following elements: </w:t>
      </w:r>
      <w:r w:rsidRPr="00A825C6">
        <w:rPr>
          <w:rStyle w:val="FootnoteReference"/>
          <w:rFonts w:ascii="Garamond" w:hAnsi="Garamond"/>
        </w:rPr>
        <w:footnoteReference w:id="30"/>
      </w:r>
      <w:r w:rsidRPr="00A825C6">
        <w:rPr>
          <w:rFonts w:ascii="Garamond" w:hAnsi="Garamond"/>
        </w:rPr>
        <w:t xml:space="preserve"> </w:t>
      </w:r>
    </w:p>
    <w:p w14:paraId="0F170D51" w14:textId="77777777" w:rsidR="009577E3" w:rsidRDefault="009577E3" w:rsidP="009577E3">
      <w:pPr>
        <w:spacing w:before="0" w:after="0" w:line="240" w:lineRule="auto"/>
        <w:rPr>
          <w:rFonts w:ascii="Garamond" w:hAnsi="Garamond"/>
        </w:rPr>
      </w:pPr>
    </w:p>
    <w:p w14:paraId="0266851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Goals and objectives</w:t>
      </w:r>
      <w:r>
        <w:rPr>
          <w:rFonts w:ascii="Garamond" w:hAnsi="Garamond"/>
        </w:rPr>
        <w:t>;</w:t>
      </w:r>
    </w:p>
    <w:p w14:paraId="320D7537"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 xml:space="preserve">Products and services to be developed, </w:t>
      </w:r>
      <w:r>
        <w:rPr>
          <w:rFonts w:ascii="Garamond" w:hAnsi="Garamond"/>
        </w:rPr>
        <w:t xml:space="preserve">ensuring that they </w:t>
      </w:r>
      <w:r w:rsidRPr="00CA156D">
        <w:rPr>
          <w:rFonts w:ascii="Garamond" w:hAnsi="Garamond"/>
        </w:rPr>
        <w:t>are compatible with the environmental and social sensitivity of the destination</w:t>
      </w:r>
      <w:r>
        <w:rPr>
          <w:rFonts w:ascii="Garamond" w:hAnsi="Garamond"/>
        </w:rPr>
        <w:t>;</w:t>
      </w:r>
    </w:p>
    <w:p w14:paraId="495683F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The concession model (i.e. management, lease, BOT, ROT), including roles and responsibilities of t</w:t>
      </w:r>
      <w:r>
        <w:rPr>
          <w:rFonts w:ascii="Garamond" w:hAnsi="Garamond"/>
        </w:rPr>
        <w:t>he authority and concessionaire, and relevant institutional arrangements;</w:t>
      </w:r>
    </w:p>
    <w:p w14:paraId="17127CEB"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The business model (e.g. private sector, joint-venture, community based enterprise);</w:t>
      </w:r>
    </w:p>
    <w:p w14:paraId="3B4F0E73"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Industry and market analysis, including supply, demand and competition</w:t>
      </w:r>
      <w:r>
        <w:rPr>
          <w:rFonts w:ascii="Garamond" w:hAnsi="Garamond"/>
        </w:rPr>
        <w:t>;</w:t>
      </w:r>
    </w:p>
    <w:p w14:paraId="62EA2BC4" w14:textId="77777777" w:rsidR="009577E3"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Project schedule, including the life cycle of the concession, including procurement process, duration and exit</w:t>
      </w:r>
      <w:r>
        <w:rPr>
          <w:rFonts w:ascii="Garamond" w:hAnsi="Garamond"/>
        </w:rPr>
        <w:t>;</w:t>
      </w:r>
    </w:p>
    <w:p w14:paraId="4C9DDDD0" w14:textId="77777777" w:rsidR="009577E3" w:rsidRPr="00136D91" w:rsidRDefault="009577E3" w:rsidP="00F47607">
      <w:pPr>
        <w:pStyle w:val="ListParagraph"/>
        <w:numPr>
          <w:ilvl w:val="0"/>
          <w:numId w:val="13"/>
        </w:numPr>
        <w:spacing w:before="0" w:after="0" w:line="240" w:lineRule="auto"/>
        <w:rPr>
          <w:rFonts w:ascii="Garamond" w:hAnsi="Garamond"/>
        </w:rPr>
      </w:pPr>
      <w:r w:rsidRPr="00136D91">
        <w:rPr>
          <w:rFonts w:ascii="Garamond" w:hAnsi="Garamond"/>
        </w:rPr>
        <w:t>Marketing plan, including product, price, promotion, and place;</w:t>
      </w:r>
    </w:p>
    <w:p w14:paraId="5F5345B5" w14:textId="77777777" w:rsidR="009577E3" w:rsidRPr="00CA156D" w:rsidRDefault="009577E3" w:rsidP="00F47607">
      <w:pPr>
        <w:pStyle w:val="ListParagraph"/>
        <w:numPr>
          <w:ilvl w:val="0"/>
          <w:numId w:val="13"/>
        </w:numPr>
        <w:spacing w:before="0" w:after="0" w:line="240" w:lineRule="auto"/>
        <w:rPr>
          <w:rFonts w:ascii="Garamond" w:hAnsi="Garamond"/>
        </w:rPr>
      </w:pPr>
      <w:r>
        <w:rPr>
          <w:rFonts w:ascii="Garamond" w:hAnsi="Garamond"/>
        </w:rPr>
        <w:t>Financial plan and projections, including best, average and worst-case scenarios;</w:t>
      </w:r>
    </w:p>
    <w:p w14:paraId="18A62618"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Sustainability plan, including socio-economic and cultural linkages with local communities, biodiversity conservation and environmental management</w:t>
      </w:r>
      <w:r>
        <w:rPr>
          <w:rFonts w:ascii="Garamond" w:hAnsi="Garamond"/>
        </w:rPr>
        <w:t>;</w:t>
      </w:r>
    </w:p>
    <w:p w14:paraId="39102B6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Critical risks and assumptions</w:t>
      </w:r>
      <w:r>
        <w:rPr>
          <w:rFonts w:ascii="Garamond" w:hAnsi="Garamond"/>
        </w:rPr>
        <w:t>; and</w:t>
      </w:r>
    </w:p>
    <w:p w14:paraId="3C5EE417" w14:textId="77777777" w:rsidR="009577E3" w:rsidRDefault="009577E3" w:rsidP="00F47607">
      <w:pPr>
        <w:pStyle w:val="ListParagraph"/>
        <w:numPr>
          <w:ilvl w:val="0"/>
          <w:numId w:val="13"/>
        </w:numPr>
        <w:spacing w:before="0" w:after="0" w:line="240" w:lineRule="auto"/>
        <w:rPr>
          <w:rFonts w:ascii="Garamond" w:hAnsi="Garamond"/>
        </w:rPr>
      </w:pPr>
      <w:r>
        <w:rPr>
          <w:rFonts w:ascii="Garamond" w:hAnsi="Garamond"/>
        </w:rPr>
        <w:t>Monitoring and evaluation.</w:t>
      </w:r>
    </w:p>
    <w:p w14:paraId="1F612AFD" w14:textId="77777777" w:rsidR="009577E3" w:rsidRDefault="009577E3" w:rsidP="009577E3">
      <w:pPr>
        <w:pStyle w:val="ListParagraph"/>
        <w:spacing w:before="0" w:after="0" w:line="240" w:lineRule="auto"/>
        <w:rPr>
          <w:rFonts w:ascii="Garamond" w:hAnsi="Garamond"/>
        </w:rPr>
      </w:pPr>
    </w:p>
    <w:p w14:paraId="6DBADD36" w14:textId="77777777" w:rsidR="009577E3" w:rsidRDefault="009577E3" w:rsidP="009577E3">
      <w:pPr>
        <w:spacing w:before="0" w:after="0" w:line="240" w:lineRule="auto"/>
        <w:rPr>
          <w:rFonts w:ascii="Garamond" w:hAnsi="Garamond"/>
        </w:rPr>
      </w:pPr>
      <w:r>
        <w:rPr>
          <w:rFonts w:ascii="Garamond" w:hAnsi="Garamond"/>
          <w:noProof/>
        </w:rPr>
        <w:drawing>
          <wp:inline distT="0" distB="0" distL="0" distR="0" wp14:anchorId="5C4FBA86" wp14:editId="79B387B5">
            <wp:extent cx="2254250" cy="660400"/>
            <wp:effectExtent l="50800" t="25400" r="0" b="762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4C54E63" w14:textId="77777777" w:rsidR="009577E3" w:rsidRDefault="009577E3" w:rsidP="009577E3">
      <w:pPr>
        <w:pStyle w:val="ListParagraph"/>
        <w:spacing w:before="0" w:after="0" w:line="240" w:lineRule="auto"/>
        <w:rPr>
          <w:rFonts w:ascii="Garamond" w:hAnsi="Garamond"/>
        </w:rPr>
      </w:pPr>
    </w:p>
    <w:p w14:paraId="105D09DA" w14:textId="77777777" w:rsidR="009577E3" w:rsidRPr="00CA156D" w:rsidRDefault="009577E3" w:rsidP="009577E3">
      <w:pPr>
        <w:pStyle w:val="ListParagraph"/>
        <w:spacing w:before="0" w:after="0" w:line="240" w:lineRule="auto"/>
        <w:rPr>
          <w:rFonts w:ascii="Garamond" w:hAnsi="Garamond"/>
        </w:rPr>
      </w:pPr>
    </w:p>
    <w:p w14:paraId="67C96E8B" w14:textId="77777777" w:rsidR="009577E3" w:rsidRDefault="009577E3">
      <w:pPr>
        <w:spacing w:before="0" w:after="0" w:line="240" w:lineRule="auto"/>
        <w:jc w:val="left"/>
        <w:rPr>
          <w:rFonts w:ascii="Garamond" w:hAnsi="Garamond"/>
        </w:rPr>
      </w:pPr>
    </w:p>
    <w:p w14:paraId="3AD7085E" w14:textId="77777777" w:rsidR="00C00F2B" w:rsidRDefault="00C00F2B">
      <w:pPr>
        <w:spacing w:before="0" w:after="0" w:line="240" w:lineRule="auto"/>
        <w:jc w:val="left"/>
        <w:rPr>
          <w:rFonts w:ascii="Garamond" w:hAnsi="Garamond"/>
        </w:rPr>
      </w:pPr>
    </w:p>
    <w:p w14:paraId="4EB6694A" w14:textId="73CF5A40" w:rsidR="004156A2" w:rsidRDefault="004156A2">
      <w:pPr>
        <w:spacing w:before="0" w:after="0" w:line="240" w:lineRule="auto"/>
        <w:jc w:val="left"/>
        <w:rPr>
          <w:rFonts w:ascii="Garamond" w:hAnsi="Garamond"/>
        </w:rPr>
      </w:pPr>
      <w:r>
        <w:rPr>
          <w:rFonts w:ascii="Garamond" w:hAnsi="Garamond"/>
        </w:rPr>
        <w:br w:type="page"/>
      </w:r>
    </w:p>
    <w:p w14:paraId="74C64840" w14:textId="77777777" w:rsidR="00785625" w:rsidRPr="00EA6394" w:rsidRDefault="00785625" w:rsidP="006F0C81">
      <w:pPr>
        <w:spacing w:line="240" w:lineRule="auto"/>
        <w:rPr>
          <w:rFonts w:ascii="Garamond" w:hAnsi="Garamond"/>
          <w:sz w:val="24"/>
          <w:szCs w:val="24"/>
        </w:rPr>
      </w:pPr>
    </w:p>
    <w:p w14:paraId="50446A0A" w14:textId="73F484F8" w:rsidR="006F0C81" w:rsidRPr="006311F5" w:rsidRDefault="00A7435D" w:rsidP="006F0C81">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54" w:name="_Toc269636338"/>
      <w:r>
        <w:rPr>
          <w:rFonts w:ascii="Garamond" w:hAnsi="Garamond"/>
        </w:rPr>
        <w:t xml:space="preserve">step 3: Procurement </w:t>
      </w:r>
      <w:r w:rsidR="002E65C5">
        <w:rPr>
          <w:rFonts w:ascii="Garamond" w:hAnsi="Garamond"/>
        </w:rPr>
        <w:t>strategy</w:t>
      </w:r>
      <w:bookmarkEnd w:id="54"/>
    </w:p>
    <w:p w14:paraId="1AB95F39" w14:textId="0A2CC055" w:rsidR="00CE6DB1" w:rsidRDefault="00345DD4" w:rsidP="00CB6A63">
      <w:pPr>
        <w:spacing w:before="0" w:after="0" w:line="240" w:lineRule="auto"/>
        <w:rPr>
          <w:rFonts w:ascii="Garamond" w:hAnsi="Garamond"/>
          <w:sz w:val="24"/>
          <w:szCs w:val="24"/>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2E65C5" w:rsidRPr="002E65C5">
        <w:rPr>
          <w:rFonts w:ascii="Garamond" w:hAnsi="Garamond"/>
          <w:sz w:val="24"/>
          <w:szCs w:val="24"/>
          <w:highlight w:val="yellow"/>
        </w:rPr>
        <w:t>4-5 pages</w:t>
      </w:r>
    </w:p>
    <w:p w14:paraId="5486C8F9" w14:textId="0D11A627" w:rsidR="00CE6DB1" w:rsidRPr="00D17C95" w:rsidRDefault="00CB6A63" w:rsidP="00D17C95">
      <w:pPr>
        <w:spacing w:line="240" w:lineRule="auto"/>
        <w:rPr>
          <w:rFonts w:ascii="Garamond" w:hAnsi="Garamond"/>
          <w:sz w:val="24"/>
          <w:szCs w:val="24"/>
        </w:rPr>
      </w:pPr>
      <w:r>
        <w:rPr>
          <w:rFonts w:ascii="Garamond" w:hAnsi="Garamond"/>
          <w:sz w:val="24"/>
          <w:szCs w:val="24"/>
        </w:rPr>
        <w:t xml:space="preserve">The Procurement strategy </w:t>
      </w:r>
      <w:r w:rsidR="00D17C95">
        <w:rPr>
          <w:rFonts w:ascii="Garamond" w:hAnsi="Garamond"/>
          <w:sz w:val="24"/>
          <w:szCs w:val="24"/>
        </w:rPr>
        <w:t xml:space="preserve">provides the framework, materials and support systems for the concession transaction to take place. </w:t>
      </w:r>
    </w:p>
    <w:p w14:paraId="09EDF269" w14:textId="530B05C2" w:rsidR="00CE6DB1" w:rsidRPr="008254D8" w:rsidRDefault="00CE6DB1" w:rsidP="008254D8">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08794E9C" wp14:editId="16BA435F">
            <wp:extent cx="2944283" cy="867833"/>
            <wp:effectExtent l="76200" t="50800" r="27940" b="977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0115E1B" w14:textId="77777777" w:rsidR="00A7435D" w:rsidRPr="002E65C5" w:rsidRDefault="00A7435D" w:rsidP="00A7435D">
      <w:pPr>
        <w:pStyle w:val="ListParagraph"/>
        <w:spacing w:before="0" w:after="0" w:line="240" w:lineRule="auto"/>
        <w:ind w:left="459"/>
        <w:jc w:val="left"/>
        <w:rPr>
          <w:rFonts w:ascii="Garamond" w:hAnsi="Garamond"/>
        </w:rPr>
      </w:pPr>
    </w:p>
    <w:p w14:paraId="133DDA85" w14:textId="574C4E93" w:rsidR="00A7435D" w:rsidRDefault="00A7435D" w:rsidP="00A7435D">
      <w:pPr>
        <w:pStyle w:val="Heading3"/>
        <w:rPr>
          <w:rFonts w:ascii="Garamond" w:hAnsi="Garamond"/>
        </w:rPr>
      </w:pPr>
      <w:bookmarkStart w:id="55" w:name="_Ref269384760"/>
      <w:bookmarkStart w:id="56" w:name="_Toc269636339"/>
      <w:r>
        <w:rPr>
          <w:rFonts w:ascii="Garamond" w:hAnsi="Garamond"/>
        </w:rPr>
        <w:t>Investment strategy</w:t>
      </w:r>
      <w:bookmarkEnd w:id="55"/>
      <w:bookmarkEnd w:id="56"/>
    </w:p>
    <w:p w14:paraId="0AF73A00" w14:textId="77777777" w:rsidR="00CB0311" w:rsidRDefault="00CB0311" w:rsidP="00CB0311">
      <w:pPr>
        <w:spacing w:before="0" w:after="0" w:line="240" w:lineRule="auto"/>
        <w:rPr>
          <w:rFonts w:ascii="Garamond" w:hAnsi="Garamond"/>
        </w:rPr>
      </w:pPr>
    </w:p>
    <w:p w14:paraId="42162CC2" w14:textId="426FB9B1" w:rsidR="00BD5AF4" w:rsidRDefault="00BD5AF4" w:rsidP="00CB0311">
      <w:pPr>
        <w:spacing w:before="0" w:after="0" w:line="240" w:lineRule="auto"/>
        <w:rPr>
          <w:rFonts w:ascii="Garamond" w:hAnsi="Garamond"/>
        </w:rPr>
      </w:pPr>
      <w:r>
        <w:rPr>
          <w:rFonts w:ascii="Garamond" w:hAnsi="Garamond"/>
        </w:rPr>
        <w:t>The investment strategy for tourism concessioning</w:t>
      </w:r>
      <w:r w:rsidR="003A111B">
        <w:rPr>
          <w:rFonts w:ascii="Garamond" w:hAnsi="Garamond"/>
        </w:rPr>
        <w:t xml:space="preserve"> </w:t>
      </w:r>
      <w:r>
        <w:rPr>
          <w:rFonts w:ascii="Garamond" w:hAnsi="Garamond"/>
        </w:rPr>
        <w:t xml:space="preserve">includes information identified during previous steps, including investment objectives (sections </w:t>
      </w:r>
      <w:r>
        <w:rPr>
          <w:rFonts w:ascii="Garamond" w:hAnsi="Garamond"/>
        </w:rPr>
        <w:fldChar w:fldCharType="begin"/>
      </w:r>
      <w:r>
        <w:rPr>
          <w:rFonts w:ascii="Garamond" w:hAnsi="Garamond"/>
        </w:rPr>
        <w:instrText xml:space="preserve"> REF _Ref268855926 \r \h </w:instrText>
      </w:r>
      <w:r>
        <w:rPr>
          <w:rFonts w:ascii="Garamond" w:hAnsi="Garamond"/>
        </w:rPr>
      </w:r>
      <w:r>
        <w:rPr>
          <w:rFonts w:ascii="Garamond" w:hAnsi="Garamond"/>
        </w:rPr>
        <w:fldChar w:fldCharType="separate"/>
      </w:r>
      <w:r>
        <w:rPr>
          <w:rFonts w:ascii="Garamond" w:hAnsi="Garamond"/>
        </w:rPr>
        <w:t>3.1.1</w:t>
      </w:r>
      <w:r>
        <w:rPr>
          <w:rFonts w:ascii="Garamond" w:hAnsi="Garamond"/>
        </w:rPr>
        <w:fldChar w:fldCharType="end"/>
      </w:r>
      <w:r>
        <w:rPr>
          <w:rFonts w:ascii="Garamond" w:hAnsi="Garamond"/>
        </w:rPr>
        <w:t xml:space="preserve">), the type of tourism products (section </w:t>
      </w:r>
      <w:r>
        <w:rPr>
          <w:rFonts w:ascii="Garamond" w:hAnsi="Garamond"/>
        </w:rPr>
        <w:fldChar w:fldCharType="begin"/>
      </w:r>
      <w:r>
        <w:rPr>
          <w:rFonts w:ascii="Garamond" w:hAnsi="Garamond"/>
        </w:rPr>
        <w:instrText xml:space="preserve"> REF _Ref268856070 \r \h </w:instrText>
      </w:r>
      <w:r>
        <w:rPr>
          <w:rFonts w:ascii="Garamond" w:hAnsi="Garamond"/>
        </w:rPr>
      </w:r>
      <w:r>
        <w:rPr>
          <w:rFonts w:ascii="Garamond" w:hAnsi="Garamond"/>
        </w:rPr>
        <w:fldChar w:fldCharType="separate"/>
      </w:r>
      <w:r>
        <w:rPr>
          <w:rFonts w:ascii="Garamond" w:hAnsi="Garamond"/>
        </w:rPr>
        <w:t>3.2.3</w:t>
      </w:r>
      <w:r>
        <w:rPr>
          <w:rFonts w:ascii="Garamond" w:hAnsi="Garamond"/>
        </w:rPr>
        <w:fldChar w:fldCharType="end"/>
      </w:r>
      <w:r>
        <w:rPr>
          <w:rFonts w:ascii="Garamond" w:hAnsi="Garamond"/>
        </w:rPr>
        <w:t xml:space="preserve">), the commercial proposition (see </w:t>
      </w:r>
      <w:r>
        <w:rPr>
          <w:rFonts w:ascii="Garamond" w:hAnsi="Garamond"/>
        </w:rPr>
        <w:fldChar w:fldCharType="begin"/>
      </w:r>
      <w:r>
        <w:rPr>
          <w:rFonts w:ascii="Garamond" w:hAnsi="Garamond"/>
        </w:rPr>
        <w:instrText xml:space="preserve"> REF _Ref268855939 \r \h </w:instrText>
      </w:r>
      <w:r>
        <w:rPr>
          <w:rFonts w:ascii="Garamond" w:hAnsi="Garamond"/>
        </w:rPr>
      </w:r>
      <w:r>
        <w:rPr>
          <w:rFonts w:ascii="Garamond" w:hAnsi="Garamond"/>
        </w:rPr>
        <w:fldChar w:fldCharType="separate"/>
      </w:r>
      <w:r>
        <w:rPr>
          <w:rFonts w:ascii="Garamond" w:hAnsi="Garamond"/>
        </w:rPr>
        <w:t>3.2.5</w:t>
      </w:r>
      <w:r>
        <w:rPr>
          <w:rFonts w:ascii="Garamond" w:hAnsi="Garamond"/>
        </w:rPr>
        <w:fldChar w:fldCharType="end"/>
      </w:r>
      <w:r>
        <w:rPr>
          <w:rFonts w:ascii="Garamond" w:hAnsi="Garamond"/>
        </w:rPr>
        <w:t xml:space="preserve">) and the development objectives (see </w:t>
      </w:r>
      <w:r>
        <w:rPr>
          <w:rFonts w:ascii="Garamond" w:hAnsi="Garamond"/>
        </w:rPr>
        <w:fldChar w:fldCharType="begin"/>
      </w:r>
      <w:r>
        <w:rPr>
          <w:rFonts w:ascii="Garamond" w:hAnsi="Garamond"/>
        </w:rPr>
        <w:instrText xml:space="preserve"> REF _Ref268855949 \r \h </w:instrText>
      </w:r>
      <w:r>
        <w:rPr>
          <w:rFonts w:ascii="Garamond" w:hAnsi="Garamond"/>
        </w:rPr>
      </w:r>
      <w:r>
        <w:rPr>
          <w:rFonts w:ascii="Garamond" w:hAnsi="Garamond"/>
        </w:rPr>
        <w:fldChar w:fldCharType="separate"/>
      </w:r>
      <w:r>
        <w:rPr>
          <w:rFonts w:ascii="Garamond" w:hAnsi="Garamond"/>
        </w:rPr>
        <w:t>3.2.6</w:t>
      </w:r>
      <w:r>
        <w:rPr>
          <w:rFonts w:ascii="Garamond" w:hAnsi="Garamond"/>
        </w:rPr>
        <w:fldChar w:fldCharType="end"/>
      </w:r>
      <w:r>
        <w:rPr>
          <w:rFonts w:ascii="Garamond" w:hAnsi="Garamond"/>
        </w:rPr>
        <w:t>).  It also includes the l</w:t>
      </w:r>
      <w:r w:rsidRPr="00BD5AF4">
        <w:rPr>
          <w:rFonts w:ascii="Garamond" w:hAnsi="Garamond"/>
        </w:rPr>
        <w:t>ocation and number of tourism concessions</w:t>
      </w:r>
      <w:r>
        <w:rPr>
          <w:rFonts w:ascii="Garamond" w:hAnsi="Garamond"/>
        </w:rPr>
        <w:t xml:space="preserve"> (see </w:t>
      </w:r>
      <w:r w:rsidR="0083609A">
        <w:rPr>
          <w:rFonts w:ascii="Garamond" w:hAnsi="Garamond"/>
        </w:rPr>
        <w:fldChar w:fldCharType="begin"/>
      </w:r>
      <w:r w:rsidR="0083609A">
        <w:rPr>
          <w:rFonts w:ascii="Garamond" w:hAnsi="Garamond"/>
        </w:rPr>
        <w:instrText xml:space="preserve"> REF _Ref268856277 \r \h </w:instrText>
      </w:r>
      <w:r w:rsidR="0083609A">
        <w:rPr>
          <w:rFonts w:ascii="Garamond" w:hAnsi="Garamond"/>
        </w:rPr>
      </w:r>
      <w:r w:rsidR="0083609A">
        <w:rPr>
          <w:rFonts w:ascii="Garamond" w:hAnsi="Garamond"/>
        </w:rPr>
        <w:fldChar w:fldCharType="separate"/>
      </w:r>
      <w:r w:rsidR="0083609A">
        <w:rPr>
          <w:rFonts w:ascii="Garamond" w:hAnsi="Garamond"/>
        </w:rPr>
        <w:t>3.2.2</w:t>
      </w:r>
      <w:r w:rsidR="0083609A">
        <w:rPr>
          <w:rFonts w:ascii="Garamond" w:hAnsi="Garamond"/>
        </w:rPr>
        <w:fldChar w:fldCharType="end"/>
      </w:r>
      <w:r>
        <w:rPr>
          <w:rFonts w:ascii="Garamond" w:hAnsi="Garamond"/>
        </w:rPr>
        <w:t xml:space="preserve">), </w:t>
      </w:r>
      <w:r w:rsidR="0083609A">
        <w:rPr>
          <w:rFonts w:ascii="Garamond" w:hAnsi="Garamond"/>
        </w:rPr>
        <w:t>the concession model and</w:t>
      </w:r>
      <w:r>
        <w:rPr>
          <w:rFonts w:ascii="Garamond" w:hAnsi="Garamond"/>
        </w:rPr>
        <w:t xml:space="preserve"> tenure length (see </w:t>
      </w:r>
      <w:r w:rsidR="0083609A">
        <w:rPr>
          <w:rFonts w:ascii="Garamond" w:hAnsi="Garamond"/>
        </w:rPr>
        <w:fldChar w:fldCharType="begin"/>
      </w:r>
      <w:r w:rsidR="0083609A">
        <w:rPr>
          <w:rFonts w:ascii="Garamond" w:hAnsi="Garamond"/>
        </w:rPr>
        <w:instrText xml:space="preserve"> REF _Ref268856289 \r \h </w:instrText>
      </w:r>
      <w:r w:rsidR="0083609A">
        <w:rPr>
          <w:rFonts w:ascii="Garamond" w:hAnsi="Garamond"/>
        </w:rPr>
      </w:r>
      <w:r w:rsidR="0083609A">
        <w:rPr>
          <w:rFonts w:ascii="Garamond" w:hAnsi="Garamond"/>
        </w:rPr>
        <w:fldChar w:fldCharType="separate"/>
      </w:r>
      <w:r w:rsidR="0083609A">
        <w:rPr>
          <w:rFonts w:ascii="Garamond" w:hAnsi="Garamond"/>
        </w:rPr>
        <w:t>3.2.4</w:t>
      </w:r>
      <w:r w:rsidR="0083609A">
        <w:rPr>
          <w:rFonts w:ascii="Garamond" w:hAnsi="Garamond"/>
        </w:rPr>
        <w:fldChar w:fldCharType="end"/>
      </w:r>
      <w:r>
        <w:rPr>
          <w:rFonts w:ascii="Garamond" w:hAnsi="Garamond"/>
        </w:rPr>
        <w:t xml:space="preserve">).  </w:t>
      </w:r>
    </w:p>
    <w:p w14:paraId="5622AA97" w14:textId="77777777" w:rsidR="00CB0311" w:rsidRDefault="00CB0311" w:rsidP="00CB0311">
      <w:pPr>
        <w:spacing w:before="0" w:after="0" w:line="240" w:lineRule="auto"/>
        <w:rPr>
          <w:rFonts w:ascii="Garamond" w:hAnsi="Garamond"/>
        </w:rPr>
      </w:pPr>
    </w:p>
    <w:p w14:paraId="53338567" w14:textId="7504C178" w:rsidR="003A111B" w:rsidRDefault="003A111B" w:rsidP="00CB0311">
      <w:pPr>
        <w:spacing w:before="0" w:after="0" w:line="240" w:lineRule="auto"/>
        <w:rPr>
          <w:rFonts w:ascii="Garamond" w:hAnsi="Garamond"/>
        </w:rPr>
      </w:pPr>
      <w:r>
        <w:rPr>
          <w:rFonts w:ascii="Garamond" w:hAnsi="Garamond"/>
        </w:rPr>
        <w:t>In developing the strategy, the authority should consider options for:</w:t>
      </w:r>
    </w:p>
    <w:p w14:paraId="4978CEFE" w14:textId="77777777" w:rsidR="00CB0311" w:rsidRDefault="00CB0311" w:rsidP="00CB0311">
      <w:pPr>
        <w:spacing w:before="0" w:after="0" w:line="240" w:lineRule="auto"/>
        <w:rPr>
          <w:rFonts w:ascii="Garamond" w:hAnsi="Garamond"/>
        </w:rPr>
      </w:pPr>
    </w:p>
    <w:p w14:paraId="2AC57ACD" w14:textId="7EF1DB50" w:rsidR="003A111B" w:rsidRPr="00CB0311" w:rsidRDefault="003A111B" w:rsidP="00F47607">
      <w:pPr>
        <w:pStyle w:val="ListParagraph"/>
        <w:numPr>
          <w:ilvl w:val="0"/>
          <w:numId w:val="24"/>
        </w:numPr>
        <w:spacing w:before="0" w:after="0" w:line="240" w:lineRule="auto"/>
        <w:rPr>
          <w:rFonts w:ascii="Garamond" w:hAnsi="Garamond"/>
        </w:rPr>
      </w:pPr>
      <w:r w:rsidRPr="00CB0311">
        <w:rPr>
          <w:rFonts w:ascii="Garamond" w:hAnsi="Garamond"/>
          <w:b/>
        </w:rPr>
        <w:t>A phased approach:</w:t>
      </w:r>
      <w:r w:rsidRPr="00CB0311">
        <w:rPr>
          <w:rFonts w:ascii="Garamond" w:hAnsi="Garamond"/>
        </w:rPr>
        <w:t xml:space="preserve"> Releasing a small number of highly attractive sites at first to stimulate demand and raise awareness, which can be followed by additional sites in a few years time. For example, in Kruger National Park (G</w:t>
      </w:r>
      <w:r w:rsidR="00CB0311" w:rsidRPr="00CB0311">
        <w:rPr>
          <w:rFonts w:ascii="Garamond" w:hAnsi="Garamond"/>
        </w:rPr>
        <w:t xml:space="preserve">reat </w:t>
      </w:r>
      <w:r w:rsidRPr="00CB0311">
        <w:rPr>
          <w:rFonts w:ascii="Garamond" w:hAnsi="Garamond"/>
        </w:rPr>
        <w:t>L</w:t>
      </w:r>
      <w:r w:rsidR="00CB0311" w:rsidRPr="00CB0311">
        <w:rPr>
          <w:rFonts w:ascii="Garamond" w:hAnsi="Garamond"/>
        </w:rPr>
        <w:t xml:space="preserve">impopo </w:t>
      </w:r>
      <w:r w:rsidRPr="00CB0311">
        <w:rPr>
          <w:rFonts w:ascii="Garamond" w:hAnsi="Garamond"/>
        </w:rPr>
        <w:t>TFCA), accommodation concessions were offered in 200</w:t>
      </w:r>
      <w:r w:rsidRPr="000E1E38">
        <w:rPr>
          <w:rFonts w:ascii="Garamond" w:hAnsi="Garamond"/>
        </w:rPr>
        <w:t>0,</w:t>
      </w:r>
      <w:r w:rsidRPr="00CB0311">
        <w:rPr>
          <w:rFonts w:ascii="Garamond" w:hAnsi="Garamond"/>
        </w:rPr>
        <w:t xml:space="preserve"> followed by restaurant and retail concessions)</w:t>
      </w:r>
      <w:r w:rsidR="000E1E38">
        <w:rPr>
          <w:rFonts w:ascii="Garamond" w:hAnsi="Garamond"/>
        </w:rPr>
        <w:t>.</w:t>
      </w:r>
    </w:p>
    <w:p w14:paraId="6D04889A" w14:textId="1664D9F4" w:rsidR="003A111B" w:rsidRDefault="003A111B" w:rsidP="00F47607">
      <w:pPr>
        <w:pStyle w:val="ListParagraph"/>
        <w:numPr>
          <w:ilvl w:val="0"/>
          <w:numId w:val="24"/>
        </w:numPr>
        <w:spacing w:before="0" w:after="0" w:line="240" w:lineRule="auto"/>
        <w:rPr>
          <w:rFonts w:ascii="Garamond" w:hAnsi="Garamond"/>
        </w:rPr>
      </w:pPr>
      <w:r w:rsidRPr="00CB0311">
        <w:rPr>
          <w:rFonts w:ascii="Garamond" w:hAnsi="Garamond"/>
          <w:b/>
        </w:rPr>
        <w:t>Inviting concession models with different commercial and development impacts:</w:t>
      </w:r>
      <w:r w:rsidRPr="00CB0311">
        <w:rPr>
          <w:rFonts w:ascii="Garamond" w:hAnsi="Garamond"/>
        </w:rPr>
        <w:t xml:space="preserve"> </w:t>
      </w:r>
      <w:r w:rsidR="00CB0311" w:rsidRPr="00CB0311">
        <w:rPr>
          <w:rFonts w:ascii="Garamond" w:hAnsi="Garamond"/>
        </w:rPr>
        <w:t xml:space="preserve"> Offering concession sites to international operators, regional operators, and local operators (including community-owned enterprises) (e.g. as in the Maputo Special Reserve, Lubomobo TFCA).</w:t>
      </w:r>
    </w:p>
    <w:p w14:paraId="43CB1349" w14:textId="0370900A" w:rsidR="00B719FA" w:rsidRPr="00B719FA" w:rsidRDefault="00B719FA" w:rsidP="00F47607">
      <w:pPr>
        <w:pStyle w:val="ListParagraph"/>
        <w:numPr>
          <w:ilvl w:val="0"/>
          <w:numId w:val="24"/>
        </w:numPr>
        <w:spacing w:before="0" w:after="0" w:line="240" w:lineRule="auto"/>
        <w:rPr>
          <w:rFonts w:ascii="Garamond" w:hAnsi="Garamond" w:cs="Avenir Light"/>
        </w:rPr>
      </w:pPr>
      <w:r>
        <w:rPr>
          <w:rFonts w:ascii="Garamond" w:hAnsi="Garamond"/>
          <w:b/>
        </w:rPr>
        <w:t>Timing:</w:t>
      </w:r>
      <w:r>
        <w:rPr>
          <w:rFonts w:ascii="Garamond" w:hAnsi="Garamond"/>
        </w:rPr>
        <w:t xml:space="preserve"> Concessioning should avoid timing the process if external factors will constrain the outcome, for example similar c</w:t>
      </w:r>
      <w:r w:rsidRPr="00B719FA">
        <w:rPr>
          <w:rFonts w:ascii="Garamond" w:hAnsi="Garamond" w:cs="Avenir Light"/>
        </w:rPr>
        <w:t xml:space="preserve">oncessions being offered in other </w:t>
      </w:r>
      <w:r>
        <w:rPr>
          <w:rFonts w:ascii="Garamond" w:hAnsi="Garamond" w:cs="Avenir Light"/>
        </w:rPr>
        <w:t>TFCAs at the same time, or g</w:t>
      </w:r>
      <w:r w:rsidRPr="00B719FA">
        <w:rPr>
          <w:rFonts w:ascii="Garamond" w:hAnsi="Garamond" w:cs="Avenir Light"/>
        </w:rPr>
        <w:t>lobal economic factors (e.g. recession, currency fluctuations)</w:t>
      </w:r>
      <w:r>
        <w:rPr>
          <w:rFonts w:ascii="Garamond" w:hAnsi="Garamond" w:cs="Avenir Light"/>
        </w:rPr>
        <w:t>.</w:t>
      </w:r>
    </w:p>
    <w:p w14:paraId="7243B377" w14:textId="77777777" w:rsidR="00B719FA" w:rsidRDefault="00B719FA" w:rsidP="00B719FA">
      <w:pPr>
        <w:tabs>
          <w:tab w:val="left" w:pos="2493"/>
        </w:tabs>
        <w:spacing w:before="0" w:after="0" w:line="240" w:lineRule="auto"/>
        <w:rPr>
          <w:rFonts w:ascii="Garamond" w:hAnsi="Garamond"/>
        </w:rPr>
      </w:pPr>
    </w:p>
    <w:p w14:paraId="6F2D2727" w14:textId="0E20C611" w:rsidR="00AF5F64" w:rsidRDefault="0083609A" w:rsidP="0092400F">
      <w:pPr>
        <w:spacing w:before="0" w:after="0" w:line="240" w:lineRule="auto"/>
        <w:rPr>
          <w:rFonts w:ascii="Garamond" w:hAnsi="Garamond"/>
        </w:rPr>
      </w:pPr>
      <w:r>
        <w:rPr>
          <w:rFonts w:ascii="Garamond" w:hAnsi="Garamond"/>
        </w:rPr>
        <w:t>The investment strategy should also incorporate the development of</w:t>
      </w:r>
      <w:r w:rsidR="0092400F">
        <w:rPr>
          <w:rFonts w:ascii="Garamond" w:hAnsi="Garamond"/>
        </w:rPr>
        <w:t xml:space="preserve"> attractive and informative</w:t>
      </w:r>
      <w:r>
        <w:rPr>
          <w:rFonts w:ascii="Garamond" w:hAnsi="Garamond"/>
        </w:rPr>
        <w:t xml:space="preserve"> </w:t>
      </w:r>
      <w:r w:rsidRPr="00FA601B">
        <w:rPr>
          <w:rFonts w:ascii="Garamond" w:hAnsi="Garamond"/>
          <w:b/>
        </w:rPr>
        <w:t>investment promotion materials.</w:t>
      </w:r>
      <w:r>
        <w:rPr>
          <w:rFonts w:ascii="Garamond" w:hAnsi="Garamond"/>
        </w:rPr>
        <w:t xml:space="preserve"> </w:t>
      </w:r>
      <w:r w:rsidR="00CE4C7B">
        <w:rPr>
          <w:rFonts w:ascii="Garamond" w:hAnsi="Garamond"/>
        </w:rPr>
        <w:t xml:space="preserve"> These should be developed for each concession site to brief investors</w:t>
      </w:r>
      <w:r w:rsidR="0092400F">
        <w:rPr>
          <w:rFonts w:ascii="Garamond" w:hAnsi="Garamond"/>
        </w:rPr>
        <w:t>, and to demonstrate how the concessions are distinguishable from other opportunities in other destinations</w:t>
      </w:r>
      <w:r w:rsidR="00CE4C7B">
        <w:rPr>
          <w:rFonts w:ascii="Garamond" w:hAnsi="Garamond"/>
        </w:rPr>
        <w:t xml:space="preserve">.  </w:t>
      </w:r>
      <w:r w:rsidR="0092400F">
        <w:rPr>
          <w:rFonts w:ascii="Garamond" w:hAnsi="Garamond"/>
        </w:rPr>
        <w:t>They may incorporate brochures, electronic documents and presentations for investor forums. Types</w:t>
      </w:r>
      <w:r w:rsidR="00AF5F64" w:rsidRPr="00D71808">
        <w:rPr>
          <w:rFonts w:ascii="Garamond" w:hAnsi="Garamond"/>
        </w:rPr>
        <w:t xml:space="preserve"> of information </w:t>
      </w:r>
      <w:r w:rsidR="00CE4C7B">
        <w:rPr>
          <w:rFonts w:ascii="Garamond" w:hAnsi="Garamond"/>
        </w:rPr>
        <w:t xml:space="preserve">to </w:t>
      </w:r>
      <w:r w:rsidR="0092400F">
        <w:rPr>
          <w:rFonts w:ascii="Garamond" w:hAnsi="Garamond"/>
        </w:rPr>
        <w:t>provide</w:t>
      </w:r>
      <w:r w:rsidR="00CE4C7B">
        <w:rPr>
          <w:rFonts w:ascii="Garamond" w:hAnsi="Garamond"/>
        </w:rPr>
        <w:t xml:space="preserve"> </w:t>
      </w:r>
      <w:r w:rsidR="0092400F">
        <w:rPr>
          <w:rFonts w:ascii="Garamond" w:hAnsi="Garamond"/>
        </w:rPr>
        <w:t>in the materials includ</w:t>
      </w:r>
      <w:r w:rsidR="00CE4C7B">
        <w:rPr>
          <w:rFonts w:ascii="Garamond" w:hAnsi="Garamond"/>
        </w:rPr>
        <w:t>e</w:t>
      </w:r>
      <w:r w:rsidR="000E1E38">
        <w:rPr>
          <w:rFonts w:ascii="Garamond" w:hAnsi="Garamond"/>
        </w:rPr>
        <w:t xml:space="preserve"> information that investors indicated they needed (see </w:t>
      </w:r>
      <w:r w:rsidR="000E1E38">
        <w:rPr>
          <w:rFonts w:ascii="Garamond" w:hAnsi="Garamond"/>
        </w:rPr>
        <w:fldChar w:fldCharType="begin"/>
      </w:r>
      <w:r w:rsidR="000E1E38">
        <w:rPr>
          <w:rFonts w:ascii="Garamond" w:hAnsi="Garamond"/>
        </w:rPr>
        <w:instrText xml:space="preserve"> REF _Ref269383415 \r \h </w:instrText>
      </w:r>
      <w:r w:rsidR="000E1E38">
        <w:rPr>
          <w:rFonts w:ascii="Garamond" w:hAnsi="Garamond"/>
        </w:rPr>
      </w:r>
      <w:r w:rsidR="000E1E38">
        <w:rPr>
          <w:rFonts w:ascii="Garamond" w:hAnsi="Garamond"/>
        </w:rPr>
        <w:fldChar w:fldCharType="separate"/>
      </w:r>
      <w:r w:rsidR="000E1E38">
        <w:rPr>
          <w:rFonts w:ascii="Garamond" w:hAnsi="Garamond"/>
        </w:rPr>
        <w:t>3.2.8</w:t>
      </w:r>
      <w:r w:rsidR="000E1E38">
        <w:rPr>
          <w:rFonts w:ascii="Garamond" w:hAnsi="Garamond"/>
        </w:rPr>
        <w:fldChar w:fldCharType="end"/>
      </w:r>
      <w:r w:rsidR="000E1E38">
        <w:rPr>
          <w:rFonts w:ascii="Garamond" w:hAnsi="Garamond"/>
        </w:rPr>
        <w:t>) and</w:t>
      </w:r>
      <w:r w:rsidR="0092400F">
        <w:rPr>
          <w:rFonts w:ascii="Garamond" w:hAnsi="Garamond"/>
        </w:rPr>
        <w:t>:</w:t>
      </w:r>
      <w:r w:rsidR="00AF5F64" w:rsidRPr="00D71808">
        <w:rPr>
          <w:rStyle w:val="FootnoteReference"/>
          <w:rFonts w:ascii="Garamond" w:hAnsi="Garamond"/>
          <w:b/>
        </w:rPr>
        <w:footnoteReference w:id="31"/>
      </w:r>
    </w:p>
    <w:p w14:paraId="75FC1C32" w14:textId="77777777" w:rsidR="0092400F" w:rsidRPr="00D71808" w:rsidRDefault="0092400F" w:rsidP="0092400F">
      <w:pPr>
        <w:spacing w:before="0" w:after="0" w:line="240" w:lineRule="auto"/>
        <w:rPr>
          <w:rFonts w:ascii="Garamond" w:hAnsi="Garamond"/>
        </w:rPr>
      </w:pPr>
    </w:p>
    <w:p w14:paraId="0DEB1915" w14:textId="542A4E4E" w:rsidR="00AF5F64" w:rsidRPr="00CE4C7B" w:rsidRDefault="00CE4C7B" w:rsidP="00F47607">
      <w:pPr>
        <w:pStyle w:val="ListParagraph"/>
        <w:numPr>
          <w:ilvl w:val="0"/>
          <w:numId w:val="21"/>
        </w:numPr>
        <w:spacing w:before="0" w:after="0" w:line="240" w:lineRule="auto"/>
        <w:jc w:val="left"/>
        <w:rPr>
          <w:rFonts w:ascii="Garamond" w:hAnsi="Garamond"/>
          <w:b/>
          <w:bCs/>
        </w:rPr>
      </w:pPr>
      <w:r w:rsidRPr="0092400F">
        <w:rPr>
          <w:rFonts w:ascii="Garamond" w:hAnsi="Garamond"/>
          <w:b/>
        </w:rPr>
        <w:t xml:space="preserve">Hard evidence (facts and data) to qualify, quantify, and allay investor concerns </w:t>
      </w:r>
      <w:r w:rsidRPr="000E1E38">
        <w:rPr>
          <w:rFonts w:ascii="Garamond" w:hAnsi="Garamond"/>
        </w:rPr>
        <w:t>about a location</w:t>
      </w:r>
      <w:r w:rsidR="000E1E38" w:rsidRPr="000E1E38">
        <w:rPr>
          <w:rFonts w:ascii="Garamond" w:hAnsi="Garamond"/>
        </w:rPr>
        <w:t>,</w:t>
      </w:r>
      <w:r w:rsidR="000E1E38">
        <w:rPr>
          <w:rFonts w:ascii="Garamond" w:hAnsi="Garamond"/>
        </w:rPr>
        <w:t xml:space="preserve"> including</w:t>
      </w:r>
      <w:r w:rsidRPr="00417970">
        <w:rPr>
          <w:rFonts w:ascii="Garamond" w:hAnsi="Garamond"/>
        </w:rPr>
        <w:t xml:space="preserve"> </w:t>
      </w:r>
      <w:r w:rsidR="000E1E38">
        <w:rPr>
          <w:rFonts w:ascii="Garamond" w:hAnsi="Garamond" w:cs="Times"/>
        </w:rPr>
        <w:t>l</w:t>
      </w:r>
      <w:r w:rsidR="00AF5F64" w:rsidRPr="00CE4C7B">
        <w:rPr>
          <w:rFonts w:ascii="Garamond" w:hAnsi="Garamond" w:cs="Times"/>
        </w:rPr>
        <w:t>and c</w:t>
      </w:r>
      <w:r>
        <w:rPr>
          <w:rFonts w:ascii="Garamond" w:hAnsi="Garamond" w:cs="Times"/>
        </w:rPr>
        <w:t xml:space="preserve">osts and acquisition procedures; </w:t>
      </w:r>
      <w:r w:rsidR="000E1E38">
        <w:rPr>
          <w:rFonts w:ascii="Garamond" w:hAnsi="Garamond" w:cs="Times"/>
        </w:rPr>
        <w:t>c</w:t>
      </w:r>
      <w:r w:rsidR="00AF5F64" w:rsidRPr="00CE4C7B">
        <w:rPr>
          <w:rFonts w:ascii="Garamond" w:hAnsi="Garamond" w:cs="Times"/>
        </w:rPr>
        <w:t>onstruct</w:t>
      </w:r>
      <w:r>
        <w:rPr>
          <w:rFonts w:ascii="Garamond" w:hAnsi="Garamond" w:cs="Times"/>
        </w:rPr>
        <w:t xml:space="preserve">ion permit costs and procedures; </w:t>
      </w:r>
      <w:r w:rsidR="000E1E38">
        <w:rPr>
          <w:rFonts w:ascii="Garamond" w:hAnsi="Garamond" w:cs="Times"/>
        </w:rPr>
        <w:t>r</w:t>
      </w:r>
      <w:r w:rsidR="00AF5F64" w:rsidRPr="00CE4C7B">
        <w:rPr>
          <w:rFonts w:ascii="Garamond" w:hAnsi="Garamond" w:cs="Times"/>
        </w:rPr>
        <w:t>elevant licenses i</w:t>
      </w:r>
      <w:r>
        <w:rPr>
          <w:rFonts w:ascii="Garamond" w:hAnsi="Garamond" w:cs="Times"/>
        </w:rPr>
        <w:t xml:space="preserve">nventory, costs, and procedures; </w:t>
      </w:r>
      <w:r w:rsidR="000E1E38">
        <w:rPr>
          <w:rFonts w:ascii="Garamond" w:hAnsi="Garamond" w:cs="Times"/>
        </w:rPr>
        <w:t>r</w:t>
      </w:r>
      <w:r w:rsidR="00AF5F64" w:rsidRPr="00CE4C7B">
        <w:rPr>
          <w:rFonts w:ascii="Garamond" w:hAnsi="Garamond" w:cs="Times"/>
        </w:rPr>
        <w:t>elevant taxes, levies an</w:t>
      </w:r>
      <w:r>
        <w:rPr>
          <w:rFonts w:ascii="Garamond" w:hAnsi="Garamond" w:cs="Times"/>
        </w:rPr>
        <w:t xml:space="preserve">d custom duties, and procedures; </w:t>
      </w:r>
      <w:r w:rsidR="000E1E38">
        <w:rPr>
          <w:rFonts w:ascii="Garamond" w:hAnsi="Garamond" w:cs="Times"/>
        </w:rPr>
        <w:t>l</w:t>
      </w:r>
      <w:r w:rsidR="00AF5F64" w:rsidRPr="00CE4C7B">
        <w:rPr>
          <w:rFonts w:ascii="Garamond" w:hAnsi="Garamond" w:cs="Times"/>
        </w:rPr>
        <w:t>abo</w:t>
      </w:r>
      <w:r w:rsidR="000E1E38">
        <w:rPr>
          <w:rFonts w:ascii="Garamond" w:hAnsi="Garamond" w:cs="Times"/>
        </w:rPr>
        <w:t>u</w:t>
      </w:r>
      <w:r w:rsidR="00AF5F64" w:rsidRPr="00CE4C7B">
        <w:rPr>
          <w:rFonts w:ascii="Garamond" w:hAnsi="Garamond" w:cs="Times"/>
        </w:rPr>
        <w:t>r costs and regulations includi</w:t>
      </w:r>
      <w:r>
        <w:rPr>
          <w:rFonts w:ascii="Garamond" w:hAnsi="Garamond" w:cs="Times"/>
        </w:rPr>
        <w:t xml:space="preserve">ng expatriate labor regulations; </w:t>
      </w:r>
      <w:r w:rsidR="000E1E38">
        <w:rPr>
          <w:rFonts w:ascii="Garamond" w:hAnsi="Garamond" w:cs="Times"/>
        </w:rPr>
        <w:t>u</w:t>
      </w:r>
      <w:r w:rsidR="00AF5F64" w:rsidRPr="00CE4C7B">
        <w:rPr>
          <w:rFonts w:ascii="Garamond" w:hAnsi="Garamond" w:cs="Times"/>
        </w:rPr>
        <w:t xml:space="preserve">tility </w:t>
      </w:r>
      <w:r>
        <w:rPr>
          <w:rFonts w:ascii="Garamond" w:hAnsi="Garamond" w:cs="Times"/>
        </w:rPr>
        <w:t xml:space="preserve">costs and connection procedures; </w:t>
      </w:r>
      <w:r w:rsidR="000E1E38">
        <w:rPr>
          <w:rFonts w:ascii="Garamond" w:hAnsi="Garamond" w:cs="Times"/>
        </w:rPr>
        <w:t>c</w:t>
      </w:r>
      <w:r w:rsidR="00AF5F64" w:rsidRPr="00CE4C7B">
        <w:rPr>
          <w:rFonts w:ascii="Garamond" w:hAnsi="Garamond" w:cs="Times"/>
        </w:rPr>
        <w:t xml:space="preserve">ommunications </w:t>
      </w:r>
      <w:r>
        <w:rPr>
          <w:rFonts w:ascii="Garamond" w:hAnsi="Garamond" w:cs="Times"/>
        </w:rPr>
        <w:t xml:space="preserve">costs and connection procedures; </w:t>
      </w:r>
      <w:r w:rsidR="000E1E38">
        <w:rPr>
          <w:rFonts w:ascii="Garamond" w:hAnsi="Garamond" w:cs="Times"/>
        </w:rPr>
        <w:t>n</w:t>
      </w:r>
      <w:r w:rsidR="00AF5F64" w:rsidRPr="00CE4C7B">
        <w:rPr>
          <w:rFonts w:ascii="Garamond" w:hAnsi="Garamond" w:cs="Times"/>
        </w:rPr>
        <w:t>ames and contacts of support institutions, lawyers, notaries, accounting firms, financial instituti</w:t>
      </w:r>
      <w:r>
        <w:rPr>
          <w:rFonts w:ascii="Garamond" w:hAnsi="Garamond" w:cs="Times"/>
        </w:rPr>
        <w:t xml:space="preserve">ons, and construction companies; </w:t>
      </w:r>
      <w:r w:rsidR="000E1E38">
        <w:rPr>
          <w:rFonts w:ascii="Garamond" w:hAnsi="Garamond" w:cs="Times"/>
        </w:rPr>
        <w:t>i</w:t>
      </w:r>
      <w:r w:rsidR="00AF5F64" w:rsidRPr="00CE4C7B">
        <w:rPr>
          <w:rFonts w:ascii="Garamond" w:hAnsi="Garamond" w:cs="Times"/>
        </w:rPr>
        <w:t>nventory of relevant policies, laws, and regulation</w:t>
      </w:r>
      <w:r>
        <w:rPr>
          <w:rFonts w:ascii="Garamond" w:hAnsi="Garamond" w:cs="Times"/>
        </w:rPr>
        <w:t xml:space="preserve">s; </w:t>
      </w:r>
      <w:r w:rsidR="000E1E38">
        <w:rPr>
          <w:rFonts w:ascii="Garamond" w:hAnsi="Garamond" w:cs="Times"/>
        </w:rPr>
        <w:t>i</w:t>
      </w:r>
      <w:r w:rsidR="00AF5F64" w:rsidRPr="00CE4C7B">
        <w:rPr>
          <w:rFonts w:ascii="Garamond" w:hAnsi="Garamond" w:cs="Times"/>
        </w:rPr>
        <w:t>nventory of relevant reports (research by accounting firms, development partners, and others)</w:t>
      </w:r>
      <w:r w:rsidR="000E1E38">
        <w:rPr>
          <w:rFonts w:ascii="Garamond" w:hAnsi="Garamond" w:cs="Times"/>
        </w:rPr>
        <w:t>;</w:t>
      </w:r>
    </w:p>
    <w:p w14:paraId="5E9C76D8" w14:textId="77777777" w:rsidR="00CE4C7B" w:rsidRPr="00CE4C7B" w:rsidRDefault="00CE4C7B" w:rsidP="00F47607">
      <w:pPr>
        <w:pStyle w:val="ListParagraph"/>
        <w:numPr>
          <w:ilvl w:val="0"/>
          <w:numId w:val="21"/>
        </w:numPr>
        <w:spacing w:before="0" w:after="0" w:line="240" w:lineRule="auto"/>
        <w:jc w:val="left"/>
        <w:rPr>
          <w:rFonts w:ascii="Garamond" w:hAnsi="Garamond"/>
          <w:b/>
          <w:bCs/>
        </w:rPr>
      </w:pPr>
      <w:r w:rsidRPr="0092400F">
        <w:rPr>
          <w:rFonts w:ascii="Garamond" w:hAnsi="Garamond"/>
          <w:b/>
        </w:rPr>
        <w:t>Examples of how any risks have been identified</w:t>
      </w:r>
      <w:r w:rsidRPr="00417970">
        <w:rPr>
          <w:rFonts w:ascii="Garamond" w:hAnsi="Garamond"/>
        </w:rPr>
        <w:t xml:space="preserve"> and is being handled by relevant stakeholders. </w:t>
      </w:r>
    </w:p>
    <w:p w14:paraId="216A5BC3" w14:textId="77777777" w:rsidR="00CE4C7B" w:rsidRPr="0092400F" w:rsidRDefault="00CE4C7B" w:rsidP="00F47607">
      <w:pPr>
        <w:pStyle w:val="ListParagraph"/>
        <w:numPr>
          <w:ilvl w:val="0"/>
          <w:numId w:val="21"/>
        </w:numPr>
        <w:spacing w:before="0" w:after="0" w:line="240" w:lineRule="auto"/>
        <w:jc w:val="left"/>
        <w:rPr>
          <w:rFonts w:ascii="Garamond" w:hAnsi="Garamond"/>
          <w:b/>
          <w:bCs/>
        </w:rPr>
      </w:pPr>
      <w:r w:rsidRPr="0092400F">
        <w:rPr>
          <w:rFonts w:ascii="Garamond" w:hAnsi="Garamond"/>
          <w:b/>
        </w:rPr>
        <w:lastRenderedPageBreak/>
        <w:t>Information on positive trends</w:t>
      </w:r>
      <w:r w:rsidRPr="00417970">
        <w:rPr>
          <w:rFonts w:ascii="Garamond" w:hAnsi="Garamond"/>
        </w:rPr>
        <w:t xml:space="preserve"> that indicate progress or news that the issues are resolved. </w:t>
      </w:r>
    </w:p>
    <w:p w14:paraId="53D7950E" w14:textId="77777777" w:rsidR="0092400F" w:rsidRPr="00417970" w:rsidRDefault="0092400F" w:rsidP="0092400F">
      <w:pPr>
        <w:pStyle w:val="ListParagraph"/>
        <w:spacing w:before="0" w:after="0" w:line="240" w:lineRule="auto"/>
        <w:ind w:left="360"/>
        <w:jc w:val="left"/>
        <w:rPr>
          <w:rFonts w:ascii="Garamond" w:hAnsi="Garamond"/>
          <w:b/>
          <w:bCs/>
        </w:rPr>
      </w:pPr>
    </w:p>
    <w:p w14:paraId="50A21626" w14:textId="70AFB2B3" w:rsidR="0092400F" w:rsidRDefault="0092400F" w:rsidP="0092400F">
      <w:pPr>
        <w:spacing w:before="0" w:after="0" w:line="240" w:lineRule="auto"/>
        <w:rPr>
          <w:rFonts w:ascii="Garamond" w:hAnsi="Garamond"/>
        </w:rPr>
      </w:pPr>
      <w:r>
        <w:rPr>
          <w:rFonts w:ascii="Garamond" w:hAnsi="Garamond"/>
        </w:rPr>
        <w:t>A commu</w:t>
      </w:r>
      <w:r w:rsidR="000E1E38">
        <w:rPr>
          <w:rFonts w:ascii="Garamond" w:hAnsi="Garamond"/>
        </w:rPr>
        <w:t>nication and outreach strategy should be devised</w:t>
      </w:r>
      <w:r>
        <w:rPr>
          <w:rFonts w:ascii="Garamond" w:hAnsi="Garamond"/>
        </w:rPr>
        <w:t xml:space="preserve"> to ensure that the targeted types of investors receive information about the opportunities.  This may include specific launch events, participation in international trade fairs, individual meetings with targeted operators, newspaper and magazine advertisements, social media. It is useful to target outreach to the private sector companies that have already shown an interest in the concessions (see section </w:t>
      </w:r>
      <w:r>
        <w:rPr>
          <w:rFonts w:ascii="Garamond" w:hAnsi="Garamond"/>
        </w:rPr>
        <w:fldChar w:fldCharType="begin"/>
      </w:r>
      <w:r>
        <w:rPr>
          <w:rFonts w:ascii="Garamond" w:hAnsi="Garamond"/>
        </w:rPr>
        <w:instrText xml:space="preserve"> REF _Ref268857514 \r \h </w:instrText>
      </w:r>
      <w:r>
        <w:rPr>
          <w:rFonts w:ascii="Garamond" w:hAnsi="Garamond"/>
        </w:rPr>
      </w:r>
      <w:r>
        <w:rPr>
          <w:rFonts w:ascii="Garamond" w:hAnsi="Garamond"/>
        </w:rPr>
        <w:fldChar w:fldCharType="separate"/>
      </w:r>
      <w:r>
        <w:rPr>
          <w:rFonts w:ascii="Garamond" w:hAnsi="Garamond"/>
        </w:rPr>
        <w:t>3.2.5</w:t>
      </w:r>
      <w:r>
        <w:rPr>
          <w:rFonts w:ascii="Garamond" w:hAnsi="Garamond"/>
        </w:rPr>
        <w:fldChar w:fldCharType="end"/>
      </w:r>
      <w:r>
        <w:rPr>
          <w:rFonts w:ascii="Garamond" w:hAnsi="Garamond"/>
        </w:rPr>
        <w:t xml:space="preserve">). </w:t>
      </w:r>
    </w:p>
    <w:p w14:paraId="35DAAA0F" w14:textId="77777777" w:rsidR="0012262C" w:rsidRDefault="0012262C" w:rsidP="0012262C">
      <w:pPr>
        <w:spacing w:before="0" w:after="0" w:line="240" w:lineRule="auto"/>
        <w:rPr>
          <w:rFonts w:ascii="Garamond" w:hAnsi="Garamond"/>
        </w:rPr>
      </w:pPr>
    </w:p>
    <w:p w14:paraId="76682ED4"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15D961F9" wp14:editId="41A420D3">
            <wp:extent cx="2254250" cy="660400"/>
            <wp:effectExtent l="50800" t="25400" r="0" b="762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2AB0840" w14:textId="77777777" w:rsidR="00C00F2B" w:rsidRPr="0012262C" w:rsidRDefault="00C00F2B" w:rsidP="0012262C">
      <w:pPr>
        <w:spacing w:before="0" w:after="0" w:line="240" w:lineRule="auto"/>
        <w:rPr>
          <w:rFonts w:ascii="Garamond" w:hAnsi="Garamond"/>
        </w:rPr>
      </w:pPr>
    </w:p>
    <w:p w14:paraId="14B9F51B" w14:textId="39087BC7" w:rsidR="00A7435D" w:rsidRDefault="00A7435D" w:rsidP="00A7435D">
      <w:pPr>
        <w:pStyle w:val="Heading3"/>
        <w:rPr>
          <w:rFonts w:ascii="Garamond" w:hAnsi="Garamond"/>
        </w:rPr>
      </w:pPr>
      <w:bookmarkStart w:id="57" w:name="_Toc269636340"/>
      <w:r>
        <w:rPr>
          <w:rFonts w:ascii="Garamond" w:hAnsi="Garamond"/>
        </w:rPr>
        <w:t>Transaction strategy</w:t>
      </w:r>
      <w:bookmarkEnd w:id="57"/>
    </w:p>
    <w:p w14:paraId="144CA63B" w14:textId="77777777" w:rsidR="00590F47" w:rsidRDefault="00590F47" w:rsidP="00590F47">
      <w:pPr>
        <w:spacing w:before="0" w:after="0" w:line="240" w:lineRule="auto"/>
        <w:rPr>
          <w:rFonts w:ascii="Garamond" w:hAnsi="Garamond"/>
        </w:rPr>
      </w:pPr>
    </w:p>
    <w:p w14:paraId="2A149B86" w14:textId="55014543" w:rsidR="00155115" w:rsidRDefault="00155115" w:rsidP="00590F47">
      <w:pPr>
        <w:spacing w:before="0" w:after="0" w:line="240" w:lineRule="auto"/>
        <w:rPr>
          <w:rFonts w:ascii="Garamond" w:hAnsi="Garamond"/>
        </w:rPr>
      </w:pPr>
      <w:r>
        <w:rPr>
          <w:rFonts w:ascii="Garamond" w:hAnsi="Garamond"/>
        </w:rPr>
        <w:t xml:space="preserve">Selection of an appropriate procurement process has critical implications for the success or failure of a concessioning process.  Characteristics of successful concession transactions include: </w:t>
      </w:r>
    </w:p>
    <w:p w14:paraId="5B91E38C" w14:textId="77777777" w:rsidR="00590F47" w:rsidRDefault="00590F47" w:rsidP="00590F47">
      <w:pPr>
        <w:spacing w:before="0" w:after="0" w:line="240" w:lineRule="auto"/>
        <w:rPr>
          <w:rFonts w:ascii="Garamond" w:hAnsi="Garamond"/>
        </w:rPr>
      </w:pPr>
    </w:p>
    <w:p w14:paraId="049D7251" w14:textId="010C7C25" w:rsidR="008A79E9" w:rsidRPr="008A79E9"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Transparency and good governance, with clear criteria for the award of a concession</w:t>
      </w:r>
      <w:r w:rsidR="004E5036">
        <w:rPr>
          <w:rFonts w:ascii="Garamond" w:hAnsi="Garamond"/>
        </w:rPr>
        <w:t>.</w:t>
      </w:r>
    </w:p>
    <w:p w14:paraId="3ABEBEB9" w14:textId="31AA3E6A" w:rsidR="00D402A3" w:rsidRPr="008A79E9" w:rsidRDefault="00D402A3" w:rsidP="00F47607">
      <w:pPr>
        <w:pStyle w:val="ListParagraph"/>
        <w:numPr>
          <w:ilvl w:val="0"/>
          <w:numId w:val="22"/>
        </w:numPr>
        <w:spacing w:before="0" w:after="0" w:line="240" w:lineRule="auto"/>
        <w:rPr>
          <w:rFonts w:ascii="Garamond" w:hAnsi="Garamond"/>
        </w:rPr>
      </w:pPr>
      <w:r w:rsidRPr="008A79E9">
        <w:rPr>
          <w:rFonts w:ascii="Garamond" w:hAnsi="Garamond"/>
        </w:rPr>
        <w:t>Short and cost effective concessions procurement process, including the negotiation period.</w:t>
      </w:r>
    </w:p>
    <w:p w14:paraId="14F1527F" w14:textId="77777777" w:rsidR="00D402A3" w:rsidRPr="008A79E9" w:rsidRDefault="00D402A3" w:rsidP="00F47607">
      <w:pPr>
        <w:pStyle w:val="ListParagraph"/>
        <w:numPr>
          <w:ilvl w:val="0"/>
          <w:numId w:val="22"/>
        </w:numPr>
        <w:spacing w:before="0" w:after="0" w:line="240" w:lineRule="auto"/>
        <w:rPr>
          <w:rFonts w:ascii="Garamond" w:hAnsi="Garamond"/>
        </w:rPr>
      </w:pPr>
      <w:r>
        <w:rPr>
          <w:rFonts w:ascii="Garamond" w:hAnsi="Garamond"/>
        </w:rPr>
        <w:t>Providing</w:t>
      </w:r>
      <w:r w:rsidRPr="008A79E9">
        <w:rPr>
          <w:rFonts w:ascii="Garamond" w:hAnsi="Garamond"/>
        </w:rPr>
        <w:t xml:space="preserve"> good deal for both the authority and the investor, with agreed environmental and socioeconomic benefits. </w:t>
      </w:r>
    </w:p>
    <w:p w14:paraId="27373A16" w14:textId="2B26D276" w:rsidR="008A79E9" w:rsidRPr="008A79E9"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A</w:t>
      </w:r>
      <w:r w:rsidR="008C0E5D">
        <w:rPr>
          <w:rFonts w:ascii="Garamond" w:hAnsi="Garamond"/>
        </w:rPr>
        <w:t>n</w:t>
      </w:r>
      <w:r w:rsidRPr="008A79E9">
        <w:rPr>
          <w:rFonts w:ascii="Garamond" w:hAnsi="Garamond"/>
        </w:rPr>
        <w:t xml:space="preserve"> experienced and skilled concessioning team, who have clear roles and responsibilities.</w:t>
      </w:r>
    </w:p>
    <w:p w14:paraId="788354C0" w14:textId="0365CACA" w:rsidR="00155115"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A c</w:t>
      </w:r>
      <w:r w:rsidR="00155115" w:rsidRPr="008A79E9">
        <w:rPr>
          <w:rFonts w:ascii="Garamond" w:hAnsi="Garamond"/>
        </w:rPr>
        <w:t xml:space="preserve">ontract period </w:t>
      </w:r>
      <w:r w:rsidRPr="008A79E9">
        <w:rPr>
          <w:rFonts w:ascii="Garamond" w:hAnsi="Garamond"/>
        </w:rPr>
        <w:t xml:space="preserve">that </w:t>
      </w:r>
      <w:r w:rsidR="00155115" w:rsidRPr="008A79E9">
        <w:rPr>
          <w:rFonts w:ascii="Garamond" w:hAnsi="Garamond"/>
        </w:rPr>
        <w:t xml:space="preserve">is sufficient for the investor to make a return on their investment. </w:t>
      </w:r>
    </w:p>
    <w:p w14:paraId="2930ECC4" w14:textId="77777777" w:rsidR="00616F78" w:rsidRDefault="00616F78" w:rsidP="00616F78">
      <w:pPr>
        <w:pStyle w:val="ListParagraph"/>
        <w:spacing w:before="0" w:after="0" w:line="240" w:lineRule="auto"/>
        <w:rPr>
          <w:rFonts w:ascii="Garamond" w:hAnsi="Garamond"/>
        </w:rPr>
      </w:pPr>
    </w:p>
    <w:p w14:paraId="79151058" w14:textId="78CB687C" w:rsidR="00AD2010" w:rsidRDefault="00AD2010" w:rsidP="00616F78">
      <w:pPr>
        <w:spacing w:before="0" w:after="0" w:line="240" w:lineRule="auto"/>
        <w:rPr>
          <w:rFonts w:ascii="Garamond" w:hAnsi="Garamond"/>
        </w:rPr>
      </w:pPr>
      <w:r>
        <w:rPr>
          <w:rFonts w:ascii="Garamond" w:hAnsi="Garamond"/>
        </w:rPr>
        <w:t xml:space="preserve">There are </w:t>
      </w:r>
      <w:r w:rsidR="00221322">
        <w:rPr>
          <w:rFonts w:ascii="Garamond" w:hAnsi="Garamond"/>
        </w:rPr>
        <w:t>two</w:t>
      </w:r>
      <w:r>
        <w:rPr>
          <w:rFonts w:ascii="Garamond" w:hAnsi="Garamond"/>
        </w:rPr>
        <w:t xml:space="preserve"> main </w:t>
      </w:r>
      <w:r w:rsidR="002E1272">
        <w:rPr>
          <w:rFonts w:ascii="Garamond" w:hAnsi="Garamond"/>
        </w:rPr>
        <w:t>options</w:t>
      </w:r>
      <w:r>
        <w:rPr>
          <w:rFonts w:ascii="Garamond" w:hAnsi="Garamond"/>
        </w:rPr>
        <w:t xml:space="preserve"> for con</w:t>
      </w:r>
      <w:r w:rsidR="00221322">
        <w:rPr>
          <w:rFonts w:ascii="Garamond" w:hAnsi="Garamond"/>
        </w:rPr>
        <w:t xml:space="preserve">cessioning: competitive bidding, and direct negotiations / </w:t>
      </w:r>
      <w:r>
        <w:rPr>
          <w:rFonts w:ascii="Garamond" w:hAnsi="Garamond"/>
        </w:rPr>
        <w:t xml:space="preserve">unsolicited proposals. </w:t>
      </w:r>
      <w:r w:rsidR="00B25085">
        <w:rPr>
          <w:rFonts w:ascii="Garamond" w:hAnsi="Garamond"/>
        </w:rPr>
        <w:t xml:space="preserve"> The authority may have some flexibility in type of transaction strategy, but in some countries the approach is prescribed in legislation (see </w:t>
      </w:r>
      <w:r w:rsidR="00B25085">
        <w:rPr>
          <w:rFonts w:ascii="Garamond" w:hAnsi="Garamond"/>
        </w:rPr>
        <w:fldChar w:fldCharType="begin"/>
      </w:r>
      <w:r w:rsidR="00B25085">
        <w:rPr>
          <w:rFonts w:ascii="Garamond" w:hAnsi="Garamond"/>
        </w:rPr>
        <w:instrText xml:space="preserve"> REF _Ref268859156 \r \h </w:instrText>
      </w:r>
      <w:r w:rsidR="00B25085">
        <w:rPr>
          <w:rFonts w:ascii="Garamond" w:hAnsi="Garamond"/>
        </w:rPr>
      </w:r>
      <w:r w:rsidR="00B25085">
        <w:rPr>
          <w:rFonts w:ascii="Garamond" w:hAnsi="Garamond"/>
        </w:rPr>
        <w:fldChar w:fldCharType="separate"/>
      </w:r>
      <w:r w:rsidR="00B25085">
        <w:rPr>
          <w:rFonts w:ascii="Garamond" w:hAnsi="Garamond"/>
        </w:rPr>
        <w:t>3.2.1</w:t>
      </w:r>
      <w:r w:rsidR="00B25085">
        <w:rPr>
          <w:rFonts w:ascii="Garamond" w:hAnsi="Garamond"/>
        </w:rPr>
        <w:fldChar w:fldCharType="end"/>
      </w:r>
      <w:r w:rsidR="00B25085">
        <w:rPr>
          <w:rFonts w:ascii="Garamond" w:hAnsi="Garamond"/>
        </w:rPr>
        <w:t xml:space="preserve">). </w:t>
      </w:r>
    </w:p>
    <w:p w14:paraId="4DF40D9A" w14:textId="77777777" w:rsidR="00B25085" w:rsidRDefault="00B25085" w:rsidP="00616F78">
      <w:pPr>
        <w:spacing w:before="0" w:after="0" w:line="240" w:lineRule="auto"/>
        <w:rPr>
          <w:rFonts w:ascii="Garamond" w:hAnsi="Garamond"/>
        </w:rPr>
      </w:pPr>
    </w:p>
    <w:p w14:paraId="0FBBC5E7" w14:textId="284DEA5A" w:rsidR="00B25085" w:rsidRDefault="005458A3" w:rsidP="00B25085">
      <w:pPr>
        <w:widowControl w:val="0"/>
        <w:autoSpaceDE w:val="0"/>
        <w:autoSpaceDN w:val="0"/>
        <w:adjustRightInd w:val="0"/>
        <w:spacing w:before="0" w:after="240" w:line="240" w:lineRule="auto"/>
        <w:jc w:val="left"/>
        <w:rPr>
          <w:rFonts w:ascii="Garamond" w:hAnsi="Garamond"/>
        </w:rPr>
      </w:pPr>
      <w:r>
        <w:rPr>
          <w:rFonts w:ascii="Garamond" w:hAnsi="Garamond"/>
          <w:b/>
        </w:rPr>
        <w:t xml:space="preserve">Option </w:t>
      </w:r>
      <w:r w:rsidR="002E1272">
        <w:rPr>
          <w:rFonts w:ascii="Garamond" w:hAnsi="Garamond"/>
          <w:b/>
        </w:rPr>
        <w:t xml:space="preserve">1. </w:t>
      </w:r>
      <w:r w:rsidR="00B25085" w:rsidRPr="003A09F0">
        <w:rPr>
          <w:rFonts w:ascii="Garamond" w:hAnsi="Garamond"/>
          <w:b/>
        </w:rPr>
        <w:t>Competitive bidding</w:t>
      </w:r>
      <w:r w:rsidR="00813543">
        <w:rPr>
          <w:rStyle w:val="FootnoteReference"/>
          <w:rFonts w:ascii="Garamond" w:hAnsi="Garamond"/>
        </w:rPr>
        <w:footnoteReference w:id="32"/>
      </w:r>
      <w:r w:rsidR="00B25085" w:rsidRPr="003A09F0">
        <w:rPr>
          <w:rFonts w:ascii="Garamond" w:hAnsi="Garamond"/>
          <w:b/>
        </w:rPr>
        <w:t>:</w:t>
      </w:r>
      <w:r w:rsidR="00B25085">
        <w:rPr>
          <w:rFonts w:ascii="Garamond" w:hAnsi="Garamond"/>
        </w:rPr>
        <w:t xml:space="preserve">  This process is generally considered the most transparent, it provides a market-based system for selecting the best proposal, it stimulates </w:t>
      </w:r>
      <w:r w:rsidR="002E1272">
        <w:rPr>
          <w:rFonts w:ascii="Garamond" w:hAnsi="Garamond"/>
        </w:rPr>
        <w:t xml:space="preserve">most </w:t>
      </w:r>
      <w:r w:rsidR="00B25085">
        <w:rPr>
          <w:rFonts w:ascii="Garamond" w:hAnsi="Garamond"/>
        </w:rPr>
        <w:t>interest among investors, and generally has lower</w:t>
      </w:r>
      <w:r w:rsidR="002E1272">
        <w:rPr>
          <w:rFonts w:ascii="Garamond" w:hAnsi="Garamond"/>
        </w:rPr>
        <w:t xml:space="preserve"> associated</w:t>
      </w:r>
      <w:r w:rsidR="00B25085">
        <w:rPr>
          <w:rFonts w:ascii="Garamond" w:hAnsi="Garamond"/>
        </w:rPr>
        <w:t xml:space="preserve"> costs than </w:t>
      </w:r>
      <w:r w:rsidR="002E1272">
        <w:rPr>
          <w:rFonts w:ascii="Garamond" w:hAnsi="Garamond"/>
        </w:rPr>
        <w:t xml:space="preserve">the </w:t>
      </w:r>
      <w:r w:rsidR="00B25085">
        <w:rPr>
          <w:rFonts w:ascii="Garamond" w:hAnsi="Garamond"/>
        </w:rPr>
        <w:t>other options. The process general</w:t>
      </w:r>
      <w:r w:rsidR="004E5036">
        <w:rPr>
          <w:rFonts w:ascii="Garamond" w:hAnsi="Garamond"/>
        </w:rPr>
        <w:t>ly</w:t>
      </w:r>
      <w:r w:rsidR="00B25085">
        <w:rPr>
          <w:rFonts w:ascii="Garamond" w:hAnsi="Garamond"/>
        </w:rPr>
        <w:t xml:space="preserve"> includes: </w:t>
      </w:r>
    </w:p>
    <w:p w14:paraId="4F366A2C" w14:textId="332CEC3B"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Helvetica Light"/>
        </w:rPr>
      </w:pPr>
      <w:r w:rsidRPr="003A09F0">
        <w:rPr>
          <w:rFonts w:ascii="Garamond" w:eastAsia="Calibri" w:hAnsi="Garamond" w:cs="Helvetica Light"/>
        </w:rPr>
        <w:t>Public notification of the authority’s intent to award a concession for a private infr</w:t>
      </w:r>
      <w:r w:rsidR="004E5036">
        <w:rPr>
          <w:rFonts w:ascii="Garamond" w:eastAsia="Calibri" w:hAnsi="Garamond" w:cs="Helvetica Light"/>
        </w:rPr>
        <w:t>astructure project or service, sometimes</w:t>
      </w:r>
      <w:r w:rsidRPr="003A09F0">
        <w:rPr>
          <w:rFonts w:ascii="Garamond" w:eastAsia="Calibri" w:hAnsi="Garamond" w:cs="Helvetica Light"/>
        </w:rPr>
        <w:t xml:space="preserve"> including a request for Expressions of Interest (EoI). </w:t>
      </w:r>
    </w:p>
    <w:p w14:paraId="41FE1044" w14:textId="10D5EF2E" w:rsidR="003A09F0" w:rsidRPr="003A09F0" w:rsidRDefault="003A09F0"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Helvetica Light"/>
        </w:rPr>
      </w:pPr>
      <w:r w:rsidRPr="003A09F0">
        <w:rPr>
          <w:rFonts w:ascii="Garamond" w:eastAsia="Calibri" w:hAnsi="Garamond" w:cs="Helvetica Light"/>
        </w:rPr>
        <w:t>A formal process for prequalifying potential bidders, in relation to key criteria.</w:t>
      </w:r>
    </w:p>
    <w:p w14:paraId="5020F79B" w14:textId="5D6F5226"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Times"/>
        </w:rPr>
      </w:pPr>
      <w:r w:rsidRPr="003A09F0">
        <w:rPr>
          <w:rFonts w:ascii="Garamond" w:eastAsia="Calibri" w:hAnsi="Garamond" w:cs="Helvetica Light"/>
        </w:rPr>
        <w:t>Distribution of information memoranda, bidding documents (e.g. Request for Proposals: RfP</w:t>
      </w:r>
      <w:r w:rsidR="004E5036">
        <w:rPr>
          <w:rFonts w:ascii="Garamond" w:eastAsia="Calibri" w:hAnsi="Garamond" w:cs="Helvetica Light"/>
        </w:rPr>
        <w:t>; formats for Social, Environmental and Financial offers</w:t>
      </w:r>
      <w:r w:rsidRPr="003A09F0">
        <w:rPr>
          <w:rFonts w:ascii="Garamond" w:eastAsia="Calibri" w:hAnsi="Garamond" w:cs="Helvetica Light"/>
        </w:rPr>
        <w:t>), and related draft contracts to potential bidders.</w:t>
      </w:r>
    </w:p>
    <w:p w14:paraId="5A6E6178" w14:textId="7A456484"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Times"/>
        </w:rPr>
      </w:pPr>
      <w:r w:rsidRPr="003A09F0">
        <w:rPr>
          <w:rFonts w:ascii="Garamond" w:eastAsia="Calibri" w:hAnsi="Garamond" w:cs="Helvetica Light"/>
        </w:rPr>
        <w:t>A formal public process for presenting proposals, evaluating proposals, and selecting the winner.</w:t>
      </w:r>
    </w:p>
    <w:p w14:paraId="64B69AFF" w14:textId="77777777" w:rsidR="00B25085" w:rsidRDefault="00B25085" w:rsidP="00616F78">
      <w:pPr>
        <w:spacing w:before="0" w:after="0" w:line="240" w:lineRule="auto"/>
        <w:rPr>
          <w:rFonts w:ascii="Garamond" w:hAnsi="Garamond"/>
        </w:rPr>
      </w:pPr>
    </w:p>
    <w:p w14:paraId="5156029D" w14:textId="420FD148" w:rsidR="005A09C9" w:rsidRDefault="005A09C9" w:rsidP="00616F78">
      <w:pPr>
        <w:spacing w:before="0" w:after="0" w:line="240" w:lineRule="auto"/>
        <w:rPr>
          <w:rFonts w:ascii="Garamond" w:hAnsi="Garamond"/>
        </w:rPr>
      </w:pPr>
      <w:r w:rsidRPr="00577478">
        <w:rPr>
          <w:rFonts w:ascii="Garamond" w:hAnsi="Garamond"/>
        </w:rPr>
        <w:t xml:space="preserve">The transaction strategy should </w:t>
      </w:r>
      <w:r>
        <w:rPr>
          <w:rFonts w:ascii="Garamond" w:hAnsi="Garamond"/>
        </w:rPr>
        <w:t>establish</w:t>
      </w:r>
      <w:r w:rsidRPr="00577478">
        <w:rPr>
          <w:rFonts w:ascii="Garamond" w:hAnsi="Garamond"/>
        </w:rPr>
        <w:t xml:space="preserve"> the protocol for screening bids (i.e. review</w:t>
      </w:r>
      <w:r w:rsidR="005B2728">
        <w:rPr>
          <w:rFonts w:ascii="Garamond" w:hAnsi="Garamond"/>
        </w:rPr>
        <w:t xml:space="preserve"> of</w:t>
      </w:r>
      <w:r w:rsidRPr="00577478">
        <w:rPr>
          <w:rFonts w:ascii="Garamond" w:hAnsi="Garamond"/>
        </w:rPr>
        <w:t xml:space="preserve"> Social and Environmental proposals first; if these are acceptable, th</w:t>
      </w:r>
      <w:r w:rsidR="004E5036">
        <w:rPr>
          <w:rFonts w:ascii="Garamond" w:hAnsi="Garamond"/>
        </w:rPr>
        <w:t xml:space="preserve">en review the Financial offer) (see </w:t>
      </w:r>
      <w:r w:rsidR="004E5036">
        <w:rPr>
          <w:rFonts w:ascii="Garamond" w:hAnsi="Garamond"/>
        </w:rPr>
        <w:fldChar w:fldCharType="begin"/>
      </w:r>
      <w:r w:rsidR="004E5036">
        <w:rPr>
          <w:rFonts w:ascii="Garamond" w:hAnsi="Garamond"/>
        </w:rPr>
        <w:instrText xml:space="preserve"> REF _Ref269383707 \r \h </w:instrText>
      </w:r>
      <w:r w:rsidR="004E5036">
        <w:rPr>
          <w:rFonts w:ascii="Garamond" w:hAnsi="Garamond"/>
        </w:rPr>
      </w:r>
      <w:r w:rsidR="004E5036">
        <w:rPr>
          <w:rFonts w:ascii="Garamond" w:hAnsi="Garamond"/>
        </w:rPr>
        <w:fldChar w:fldCharType="separate"/>
      </w:r>
      <w:r w:rsidR="004E5036">
        <w:rPr>
          <w:rFonts w:ascii="Garamond" w:hAnsi="Garamond"/>
        </w:rPr>
        <w:t>3.3.3</w:t>
      </w:r>
      <w:r w:rsidR="004E5036">
        <w:rPr>
          <w:rFonts w:ascii="Garamond" w:hAnsi="Garamond"/>
        </w:rPr>
        <w:fldChar w:fldCharType="end"/>
      </w:r>
      <w:r w:rsidR="004E5036">
        <w:rPr>
          <w:rFonts w:ascii="Garamond" w:hAnsi="Garamond"/>
        </w:rPr>
        <w:t xml:space="preserve"> and Step 4). </w:t>
      </w:r>
    </w:p>
    <w:p w14:paraId="6BAF14F4" w14:textId="77777777" w:rsidR="005A09C9" w:rsidRDefault="005A09C9" w:rsidP="00616F78">
      <w:pPr>
        <w:spacing w:before="0" w:after="0" w:line="240" w:lineRule="auto"/>
        <w:rPr>
          <w:rFonts w:ascii="Garamond" w:hAnsi="Garamond"/>
        </w:rPr>
      </w:pPr>
    </w:p>
    <w:p w14:paraId="6DD73BEF" w14:textId="7F7911D9" w:rsidR="001A5313" w:rsidRDefault="005458A3" w:rsidP="00DA695F">
      <w:pPr>
        <w:spacing w:before="0" w:after="0" w:line="240" w:lineRule="auto"/>
        <w:rPr>
          <w:rFonts w:ascii="Garamond" w:hAnsi="Garamond"/>
        </w:rPr>
      </w:pPr>
      <w:r>
        <w:rPr>
          <w:rFonts w:ascii="Garamond" w:hAnsi="Garamond"/>
          <w:b/>
        </w:rPr>
        <w:t xml:space="preserve">Option </w:t>
      </w:r>
      <w:r w:rsidR="002E1272" w:rsidRPr="001A5313">
        <w:rPr>
          <w:rFonts w:ascii="Garamond" w:hAnsi="Garamond"/>
          <w:b/>
        </w:rPr>
        <w:t xml:space="preserve">2. </w:t>
      </w:r>
      <w:r w:rsidR="00CE20E6">
        <w:rPr>
          <w:rFonts w:ascii="Garamond" w:hAnsi="Garamond"/>
          <w:b/>
        </w:rPr>
        <w:t>Direct negotiations /</w:t>
      </w:r>
      <w:r w:rsidR="00B25085" w:rsidRPr="001A5313">
        <w:rPr>
          <w:rFonts w:ascii="Garamond" w:hAnsi="Garamond"/>
          <w:b/>
        </w:rPr>
        <w:t xml:space="preserve"> unsolicited proposals</w:t>
      </w:r>
      <w:r w:rsidR="00E72859" w:rsidRPr="00950E1B">
        <w:rPr>
          <w:rStyle w:val="FootnoteReference"/>
          <w:rFonts w:ascii="Garamond" w:hAnsi="Garamond"/>
        </w:rPr>
        <w:footnoteReference w:id="33"/>
      </w:r>
      <w:r w:rsidR="00B25085" w:rsidRPr="001A5313">
        <w:rPr>
          <w:rFonts w:ascii="Garamond" w:hAnsi="Garamond"/>
          <w:b/>
        </w:rPr>
        <w:t>:</w:t>
      </w:r>
      <w:r w:rsidR="00DA695F">
        <w:rPr>
          <w:rFonts w:ascii="Garamond" w:hAnsi="Garamond"/>
        </w:rPr>
        <w:t xml:space="preserve"> Investors may </w:t>
      </w:r>
      <w:r w:rsidR="001A5313">
        <w:rPr>
          <w:rFonts w:ascii="Garamond" w:hAnsi="Garamond"/>
        </w:rPr>
        <w:t>wish to avoid competitive processes in tourism concessions particularly if:</w:t>
      </w:r>
    </w:p>
    <w:p w14:paraId="077DAF95" w14:textId="77777777" w:rsidR="001A5313" w:rsidRDefault="001A5313" w:rsidP="00DA695F">
      <w:pPr>
        <w:spacing w:before="0" w:after="0" w:line="240" w:lineRule="auto"/>
        <w:rPr>
          <w:rFonts w:ascii="Garamond" w:hAnsi="Garamond"/>
        </w:rPr>
      </w:pPr>
    </w:p>
    <w:p w14:paraId="2BE4D8BE" w14:textId="13193633" w:rsidR="001A5313" w:rsidRPr="001A5313" w:rsidRDefault="001A5313" w:rsidP="00F47607">
      <w:pPr>
        <w:pStyle w:val="ListParagraph"/>
        <w:numPr>
          <w:ilvl w:val="0"/>
          <w:numId w:val="28"/>
        </w:numPr>
        <w:spacing w:before="0" w:after="0" w:line="240" w:lineRule="auto"/>
        <w:rPr>
          <w:rFonts w:ascii="Garamond" w:hAnsi="Garamond"/>
        </w:rPr>
      </w:pPr>
      <w:r w:rsidRPr="001A5313">
        <w:rPr>
          <w:rFonts w:ascii="Garamond" w:hAnsi="Garamond"/>
        </w:rPr>
        <w:t xml:space="preserve">they have intellectual property rights to a product (e.g. a transboundary </w:t>
      </w:r>
      <w:r w:rsidR="006D74DA">
        <w:rPr>
          <w:rFonts w:ascii="Garamond" w:hAnsi="Garamond"/>
        </w:rPr>
        <w:t>product</w:t>
      </w:r>
      <w:r w:rsidRPr="001A5313">
        <w:rPr>
          <w:rFonts w:ascii="Garamond" w:hAnsi="Garamond"/>
        </w:rPr>
        <w:t xml:space="preserve"> that they have incubated); </w:t>
      </w:r>
      <w:r w:rsidR="00A925E7">
        <w:rPr>
          <w:rFonts w:ascii="Garamond" w:hAnsi="Garamond"/>
        </w:rPr>
        <w:t xml:space="preserve">or </w:t>
      </w:r>
    </w:p>
    <w:p w14:paraId="7FD1C9C6" w14:textId="1535B838" w:rsidR="006851F2" w:rsidRPr="00D00338" w:rsidRDefault="00A925E7" w:rsidP="00F47607">
      <w:pPr>
        <w:pStyle w:val="ListParagraph"/>
        <w:numPr>
          <w:ilvl w:val="0"/>
          <w:numId w:val="28"/>
        </w:numPr>
        <w:spacing w:before="0" w:after="0" w:line="240" w:lineRule="auto"/>
        <w:rPr>
          <w:rFonts w:ascii="Garamond" w:hAnsi="Garamond"/>
        </w:rPr>
      </w:pPr>
      <w:r>
        <w:rPr>
          <w:rFonts w:ascii="Garamond" w:hAnsi="Garamond"/>
        </w:rPr>
        <w:lastRenderedPageBreak/>
        <w:t xml:space="preserve">there is </w:t>
      </w:r>
      <w:r w:rsidR="001A5313" w:rsidRPr="001A5313">
        <w:rPr>
          <w:rFonts w:ascii="Garamond" w:hAnsi="Garamond"/>
        </w:rPr>
        <w:t>a lack of private sector interest, due to the small scale, remote location or potential ri</w:t>
      </w:r>
      <w:r w:rsidR="001A5313">
        <w:rPr>
          <w:rFonts w:ascii="Garamond" w:hAnsi="Garamond"/>
        </w:rPr>
        <w:t xml:space="preserve">sk of </w:t>
      </w:r>
      <w:r>
        <w:rPr>
          <w:rFonts w:ascii="Garamond" w:hAnsi="Garamond"/>
        </w:rPr>
        <w:t>the project.</w:t>
      </w:r>
    </w:p>
    <w:p w14:paraId="106AC2B5" w14:textId="77777777" w:rsidR="00B06B77" w:rsidRDefault="00B06B77" w:rsidP="00616F78">
      <w:pPr>
        <w:spacing w:before="0" w:after="0" w:line="240" w:lineRule="auto"/>
        <w:rPr>
          <w:rFonts w:ascii="Garamond" w:hAnsi="Garamond"/>
        </w:rPr>
      </w:pPr>
    </w:p>
    <w:p w14:paraId="25EDC114" w14:textId="4B30B118" w:rsidR="00A925E7" w:rsidRDefault="00882835" w:rsidP="00616F78">
      <w:pPr>
        <w:spacing w:before="0" w:after="0" w:line="240" w:lineRule="auto"/>
        <w:rPr>
          <w:rFonts w:ascii="Garamond" w:hAnsi="Garamond"/>
        </w:rPr>
      </w:pPr>
      <w:r>
        <w:rPr>
          <w:rFonts w:ascii="Garamond" w:hAnsi="Garamond"/>
        </w:rPr>
        <w:t>Processes</w:t>
      </w:r>
      <w:r w:rsidR="000E474D">
        <w:rPr>
          <w:rFonts w:ascii="Garamond" w:hAnsi="Garamond"/>
        </w:rPr>
        <w:t xml:space="preserve"> used to manag</w:t>
      </w:r>
      <w:r>
        <w:rPr>
          <w:rFonts w:ascii="Garamond" w:hAnsi="Garamond"/>
        </w:rPr>
        <w:t>e unsolicited proposals</w:t>
      </w:r>
      <w:r w:rsidR="00EC4C78">
        <w:rPr>
          <w:rFonts w:ascii="Garamond" w:hAnsi="Garamond"/>
        </w:rPr>
        <w:t>, and improve their transparency</w:t>
      </w:r>
      <w:r w:rsidR="00D00338">
        <w:rPr>
          <w:rFonts w:ascii="Garamond" w:hAnsi="Garamond"/>
        </w:rPr>
        <w:t xml:space="preserve"> and the level of competition</w:t>
      </w:r>
      <w:r w:rsidR="00EC4C78">
        <w:rPr>
          <w:rFonts w:ascii="Garamond" w:hAnsi="Garamond"/>
        </w:rPr>
        <w:t>,</w:t>
      </w:r>
      <w:r>
        <w:rPr>
          <w:rFonts w:ascii="Garamond" w:hAnsi="Garamond"/>
        </w:rPr>
        <w:t xml:space="preserve"> include</w:t>
      </w:r>
      <w:r w:rsidR="00EC4C78">
        <w:rPr>
          <w:rFonts w:ascii="Garamond" w:hAnsi="Garamond"/>
        </w:rPr>
        <w:t xml:space="preserve"> two stages</w:t>
      </w:r>
      <w:r w:rsidR="008E71D1">
        <w:rPr>
          <w:rFonts w:ascii="Garamond" w:hAnsi="Garamond"/>
        </w:rPr>
        <w:t xml:space="preserve"> which are outlined below</w:t>
      </w:r>
      <w:r w:rsidR="000E474D">
        <w:rPr>
          <w:rFonts w:ascii="Garamond" w:hAnsi="Garamond"/>
        </w:rPr>
        <w:t>:</w:t>
      </w:r>
      <w:r w:rsidR="00D00338" w:rsidRPr="00D00338">
        <w:rPr>
          <w:rStyle w:val="FootnoteReference"/>
          <w:rFonts w:ascii="Garamond" w:hAnsi="Garamond"/>
        </w:rPr>
        <w:t xml:space="preserve"> </w:t>
      </w:r>
      <w:r w:rsidR="00D00338" w:rsidRPr="00950E1B">
        <w:rPr>
          <w:rStyle w:val="FootnoteReference"/>
          <w:rFonts w:ascii="Garamond" w:hAnsi="Garamond"/>
        </w:rPr>
        <w:footnoteReference w:id="34"/>
      </w:r>
      <w:r w:rsidR="00D00338" w:rsidRPr="00950E1B">
        <w:rPr>
          <w:rFonts w:ascii="Garamond" w:hAnsi="Garamond"/>
        </w:rPr>
        <w:t xml:space="preserve"> </w:t>
      </w:r>
      <w:r w:rsidR="008E71D1" w:rsidRPr="008E71D1">
        <w:rPr>
          <w:rStyle w:val="FootnoteReference"/>
          <w:rFonts w:ascii="Garamond" w:hAnsi="Garamond"/>
        </w:rPr>
        <w:t xml:space="preserve"> </w:t>
      </w:r>
    </w:p>
    <w:p w14:paraId="0913F23B" w14:textId="77777777" w:rsidR="008E71D1" w:rsidRDefault="008E71D1" w:rsidP="00616F78">
      <w:pPr>
        <w:spacing w:before="0" w:after="0" w:line="240" w:lineRule="auto"/>
        <w:rPr>
          <w:rFonts w:ascii="Garamond" w:hAnsi="Garamond"/>
        </w:rPr>
      </w:pPr>
    </w:p>
    <w:p w14:paraId="60B7BD10" w14:textId="03DCF5C5" w:rsidR="008E71D1" w:rsidRPr="008E71D1" w:rsidRDefault="008E71D1" w:rsidP="00616F78">
      <w:pPr>
        <w:spacing w:before="0" w:after="0" w:line="240" w:lineRule="auto"/>
        <w:rPr>
          <w:rFonts w:ascii="Garamond" w:hAnsi="Garamond"/>
          <w:b/>
        </w:rPr>
      </w:pPr>
      <w:r w:rsidRPr="008E71D1">
        <w:rPr>
          <w:rFonts w:ascii="Garamond" w:hAnsi="Garamond"/>
          <w:b/>
        </w:rPr>
        <w:t>Stage 1: Approving unsolicited proposals</w:t>
      </w:r>
    </w:p>
    <w:p w14:paraId="676EF821" w14:textId="7F87C19E" w:rsidR="000E474D" w:rsidRPr="008E71D1" w:rsidRDefault="000E474D" w:rsidP="00F47607">
      <w:pPr>
        <w:pStyle w:val="ListParagraph"/>
        <w:numPr>
          <w:ilvl w:val="0"/>
          <w:numId w:val="29"/>
        </w:numPr>
        <w:spacing w:before="0" w:after="0" w:line="240" w:lineRule="auto"/>
        <w:rPr>
          <w:rFonts w:ascii="Garamond" w:hAnsi="Garamond"/>
        </w:rPr>
      </w:pPr>
      <w:r w:rsidRPr="008E71D1">
        <w:rPr>
          <w:rFonts w:ascii="Garamond" w:hAnsi="Garamond"/>
        </w:rPr>
        <w:t>Submission of a description of the project to the appropriate authority.</w:t>
      </w:r>
    </w:p>
    <w:p w14:paraId="5BDBD49E" w14:textId="1443F9CA" w:rsidR="001B43BB" w:rsidRPr="008E71D1" w:rsidRDefault="000E474D" w:rsidP="00F47607">
      <w:pPr>
        <w:pStyle w:val="ListParagraph"/>
        <w:numPr>
          <w:ilvl w:val="0"/>
          <w:numId w:val="29"/>
        </w:numPr>
        <w:spacing w:before="0" w:after="0" w:line="240" w:lineRule="auto"/>
        <w:rPr>
          <w:rFonts w:ascii="Garamond" w:hAnsi="Garamond"/>
        </w:rPr>
      </w:pPr>
      <w:r w:rsidRPr="008E71D1">
        <w:rPr>
          <w:rFonts w:ascii="Garamond" w:hAnsi="Garamond"/>
        </w:rPr>
        <w:t xml:space="preserve">The authority gives a preliminary response as to whether the project is of interest, and may request additional legal, financial and environmental studies to be done by the investor at their own cost. </w:t>
      </w:r>
      <w:r w:rsidR="001B43BB" w:rsidRPr="008E71D1">
        <w:rPr>
          <w:rFonts w:ascii="Garamond" w:hAnsi="Garamond"/>
        </w:rPr>
        <w:t xml:space="preserve">If the concept is accepted, then the investor receives formal recognition of the concept and their preliminary proposal. </w:t>
      </w:r>
    </w:p>
    <w:p w14:paraId="6172F69C" w14:textId="3CC56800" w:rsidR="00950E1B" w:rsidRPr="008E71D1" w:rsidRDefault="008E71D1" w:rsidP="00F47607">
      <w:pPr>
        <w:pStyle w:val="ListParagraph"/>
        <w:numPr>
          <w:ilvl w:val="0"/>
          <w:numId w:val="29"/>
        </w:numPr>
        <w:spacing w:before="0" w:after="0" w:line="240" w:lineRule="auto"/>
        <w:rPr>
          <w:rFonts w:ascii="Garamond" w:hAnsi="Garamond"/>
        </w:rPr>
      </w:pPr>
      <w:r>
        <w:rPr>
          <w:rFonts w:ascii="Garamond" w:hAnsi="Garamond"/>
        </w:rPr>
        <w:t>A</w:t>
      </w:r>
      <w:r w:rsidR="001B43BB" w:rsidRPr="008E71D1">
        <w:rPr>
          <w:rFonts w:ascii="Garamond" w:hAnsi="Garamond"/>
        </w:rPr>
        <w:t xml:space="preserve"> detailed proposal</w:t>
      </w:r>
      <w:r>
        <w:rPr>
          <w:rFonts w:ascii="Garamond" w:hAnsi="Garamond"/>
        </w:rPr>
        <w:t xml:space="preserve"> is developed</w:t>
      </w:r>
      <w:r w:rsidR="001B43BB" w:rsidRPr="008E71D1">
        <w:rPr>
          <w:rFonts w:ascii="Garamond" w:hAnsi="Garamond"/>
        </w:rPr>
        <w:t xml:space="preserve"> including a) the investors ability to develop and operate the project; b) a technical feasibility study, c) estimated project cost and financing plan, d) an income and expenditure plan, e) justification of the need for the project, and f) environmental or social impact studies. A bid bond may be requested at this time if a guarantee of the seriousness of the investor is required. </w:t>
      </w:r>
    </w:p>
    <w:p w14:paraId="56349447" w14:textId="0E5BAE9A" w:rsidR="001B43BB" w:rsidRDefault="008E71D1" w:rsidP="00F47607">
      <w:pPr>
        <w:pStyle w:val="ListParagraph"/>
        <w:numPr>
          <w:ilvl w:val="0"/>
          <w:numId w:val="29"/>
        </w:numPr>
        <w:spacing w:before="0" w:after="0" w:line="240" w:lineRule="auto"/>
        <w:rPr>
          <w:rFonts w:ascii="Garamond" w:hAnsi="Garamond"/>
        </w:rPr>
      </w:pPr>
      <w:r w:rsidRPr="008E71D1">
        <w:rPr>
          <w:rFonts w:ascii="Garamond" w:hAnsi="Garamond"/>
        </w:rPr>
        <w:t xml:space="preserve">The detailed proposal is reviewed and negotiated between the proponent and authority. </w:t>
      </w:r>
      <w:r>
        <w:rPr>
          <w:rFonts w:ascii="Garamond" w:hAnsi="Garamond"/>
        </w:rPr>
        <w:t xml:space="preserve"> If accepted, the </w:t>
      </w:r>
      <w:r w:rsidRPr="008E71D1">
        <w:rPr>
          <w:rFonts w:ascii="Garamond" w:hAnsi="Garamond"/>
        </w:rPr>
        <w:t>project moves to stage 2.</w:t>
      </w:r>
    </w:p>
    <w:p w14:paraId="5832FC22" w14:textId="77777777" w:rsidR="006E4482" w:rsidRPr="008E71D1" w:rsidRDefault="006E4482" w:rsidP="006E4482">
      <w:pPr>
        <w:pStyle w:val="ListParagraph"/>
        <w:spacing w:before="0" w:after="0" w:line="240" w:lineRule="auto"/>
        <w:rPr>
          <w:rFonts w:ascii="Garamond" w:hAnsi="Garamond"/>
        </w:rPr>
      </w:pPr>
    </w:p>
    <w:p w14:paraId="53A6A485" w14:textId="6553F3AA" w:rsidR="008E71D1" w:rsidRDefault="008E71D1" w:rsidP="00616F78">
      <w:pPr>
        <w:spacing w:before="0" w:after="0" w:line="240" w:lineRule="auto"/>
        <w:rPr>
          <w:rFonts w:ascii="Garamond" w:hAnsi="Garamond"/>
          <w:b/>
        </w:rPr>
      </w:pPr>
      <w:r w:rsidRPr="008E71D1">
        <w:rPr>
          <w:rFonts w:ascii="Garamond" w:hAnsi="Garamond"/>
          <w:b/>
        </w:rPr>
        <w:t>Stage 2: Tendering unsolicited proposals</w:t>
      </w:r>
    </w:p>
    <w:p w14:paraId="2946366A" w14:textId="563FB470" w:rsidR="008E71D1" w:rsidRPr="008E71D1" w:rsidRDefault="008E71D1" w:rsidP="00616F78">
      <w:pPr>
        <w:spacing w:before="0" w:after="0" w:line="240" w:lineRule="auto"/>
        <w:rPr>
          <w:rFonts w:ascii="Garamond" w:hAnsi="Garamond"/>
        </w:rPr>
      </w:pPr>
      <w:r w:rsidRPr="008E71D1">
        <w:rPr>
          <w:rFonts w:ascii="Garamond" w:hAnsi="Garamond"/>
        </w:rPr>
        <w:t>Usuall</w:t>
      </w:r>
      <w:r w:rsidR="00882835">
        <w:rPr>
          <w:rFonts w:ascii="Garamond" w:hAnsi="Garamond"/>
        </w:rPr>
        <w:t>y one of three systems is used selected, to generate</w:t>
      </w:r>
      <w:r w:rsidRPr="008E71D1">
        <w:rPr>
          <w:rFonts w:ascii="Garamond" w:hAnsi="Garamond"/>
        </w:rPr>
        <w:t xml:space="preserve"> a competitive process</w:t>
      </w:r>
      <w:r w:rsidR="00882835">
        <w:rPr>
          <w:rFonts w:ascii="Garamond" w:hAnsi="Garamond"/>
        </w:rPr>
        <w:t xml:space="preserve">. These </w:t>
      </w:r>
      <w:r w:rsidRPr="008E71D1">
        <w:rPr>
          <w:rFonts w:ascii="Garamond" w:hAnsi="Garamond"/>
        </w:rPr>
        <w:t>are outlined below</w:t>
      </w:r>
      <w:r w:rsidR="006E4482">
        <w:rPr>
          <w:rFonts w:ascii="Garamond" w:hAnsi="Garamond"/>
        </w:rPr>
        <w:t xml:space="preserve">: </w:t>
      </w:r>
    </w:p>
    <w:p w14:paraId="1385ABFC" w14:textId="016813EE" w:rsidR="008E71D1" w:rsidRPr="00813543" w:rsidRDefault="008E71D1" w:rsidP="00F47607">
      <w:pPr>
        <w:pStyle w:val="ListParagraph"/>
        <w:numPr>
          <w:ilvl w:val="0"/>
          <w:numId w:val="30"/>
        </w:numPr>
        <w:spacing w:before="0" w:after="0" w:line="240" w:lineRule="auto"/>
        <w:rPr>
          <w:rFonts w:ascii="Garamond" w:hAnsi="Garamond"/>
          <w:b/>
        </w:rPr>
      </w:pPr>
      <w:r w:rsidRPr="00813543">
        <w:rPr>
          <w:rFonts w:ascii="Garamond" w:hAnsi="Garamond"/>
          <w:b/>
        </w:rPr>
        <w:t>Bonus system</w:t>
      </w:r>
      <w:r w:rsidR="003E16F7" w:rsidRPr="00813543">
        <w:rPr>
          <w:rFonts w:ascii="Garamond" w:hAnsi="Garamond"/>
          <w:b/>
        </w:rPr>
        <w:t xml:space="preserve">: </w:t>
      </w:r>
      <w:r w:rsidR="003E16F7" w:rsidRPr="00813543">
        <w:rPr>
          <w:rFonts w:ascii="Garamond" w:hAnsi="Garamond"/>
        </w:rPr>
        <w:t xml:space="preserve">A formal </w:t>
      </w:r>
      <w:r w:rsidR="009F4932" w:rsidRPr="00813543">
        <w:rPr>
          <w:rFonts w:ascii="Garamond" w:hAnsi="Garamond"/>
        </w:rPr>
        <w:t xml:space="preserve">competitive </w:t>
      </w:r>
      <w:r w:rsidR="003E16F7" w:rsidRPr="00813543">
        <w:rPr>
          <w:rFonts w:ascii="Garamond" w:hAnsi="Garamond"/>
        </w:rPr>
        <w:t>bidding process takes place, but the original proponent receives a bonus, such as an additional number of points on the s</w:t>
      </w:r>
      <w:r w:rsidR="009F4932" w:rsidRPr="00813543">
        <w:rPr>
          <w:rFonts w:ascii="Garamond" w:hAnsi="Garamond"/>
        </w:rPr>
        <w:t>core of their proposal (i.e. up to 10</w:t>
      </w:r>
      <w:r w:rsidR="003E16F7" w:rsidRPr="00813543">
        <w:rPr>
          <w:rFonts w:ascii="Garamond" w:hAnsi="Garamond"/>
        </w:rPr>
        <w:t xml:space="preserve">%). </w:t>
      </w:r>
      <w:r w:rsidR="009F4932" w:rsidRPr="00813543">
        <w:rPr>
          <w:rFonts w:ascii="Garamond" w:hAnsi="Garamond"/>
        </w:rPr>
        <w:t xml:space="preserve"> The size of the bonus is publicly announced, as is the estimated reimbursable costs for the proposal development.</w:t>
      </w:r>
      <w:r w:rsidR="009F4932" w:rsidRPr="00813543">
        <w:rPr>
          <w:rFonts w:ascii="Garamond" w:hAnsi="Garamond"/>
          <w:b/>
        </w:rPr>
        <w:t xml:space="preserve"> </w:t>
      </w:r>
    </w:p>
    <w:p w14:paraId="119E3D19" w14:textId="296777B5" w:rsidR="008E71D1" w:rsidRPr="00813543" w:rsidRDefault="008E71D1" w:rsidP="00F47607">
      <w:pPr>
        <w:pStyle w:val="ListParagraph"/>
        <w:numPr>
          <w:ilvl w:val="0"/>
          <w:numId w:val="30"/>
        </w:numPr>
        <w:spacing w:before="0" w:after="0" w:line="240" w:lineRule="auto"/>
        <w:rPr>
          <w:rFonts w:ascii="Garamond" w:hAnsi="Garamond"/>
          <w:b/>
        </w:rPr>
      </w:pPr>
      <w:r w:rsidRPr="00813543">
        <w:rPr>
          <w:rFonts w:ascii="Garamond" w:hAnsi="Garamond"/>
          <w:b/>
        </w:rPr>
        <w:t>Swiss challenge</w:t>
      </w:r>
      <w:r w:rsidR="006E4482" w:rsidRPr="00813543">
        <w:rPr>
          <w:rFonts w:ascii="Garamond" w:hAnsi="Garamond"/>
          <w:b/>
        </w:rPr>
        <w:t xml:space="preserve">: </w:t>
      </w:r>
      <w:r w:rsidR="00112E03" w:rsidRPr="00813543">
        <w:rPr>
          <w:rFonts w:ascii="Garamond" w:hAnsi="Garamond"/>
        </w:rPr>
        <w:t>A public tender process is announced. The original proponent may be requested to provide a bid bond equivalent to that required from potential challengers.  If a competitor submits a better offer</w:t>
      </w:r>
      <w:r w:rsidR="00D11848" w:rsidRPr="00813543">
        <w:rPr>
          <w:rFonts w:ascii="Garamond" w:hAnsi="Garamond"/>
        </w:rPr>
        <w:t xml:space="preserve"> (financially and technically)</w:t>
      </w:r>
      <w:r w:rsidR="00112E03" w:rsidRPr="00813543">
        <w:rPr>
          <w:rFonts w:ascii="Garamond" w:hAnsi="Garamond"/>
        </w:rPr>
        <w:t xml:space="preserve">, then the original proponent may have a period to match it (e.g. 30 days). </w:t>
      </w:r>
      <w:r w:rsidR="00D11848" w:rsidRPr="00813543">
        <w:rPr>
          <w:rFonts w:ascii="Garamond" w:hAnsi="Garamond"/>
        </w:rPr>
        <w:t>If they cannot match the challenging offer, then the challenger is awarded the concession.</w:t>
      </w:r>
      <w:r w:rsidR="00D11848" w:rsidRPr="00813543">
        <w:rPr>
          <w:rFonts w:ascii="Garamond" w:hAnsi="Garamond"/>
          <w:b/>
        </w:rPr>
        <w:t xml:space="preserve"> </w:t>
      </w:r>
    </w:p>
    <w:p w14:paraId="003E394A" w14:textId="5301C107" w:rsidR="00DA695F" w:rsidRPr="00E17283" w:rsidRDefault="00D11848" w:rsidP="00F47607">
      <w:pPr>
        <w:pStyle w:val="ListParagraph"/>
        <w:numPr>
          <w:ilvl w:val="0"/>
          <w:numId w:val="30"/>
        </w:numPr>
        <w:spacing w:before="0" w:after="0" w:line="240" w:lineRule="auto"/>
        <w:rPr>
          <w:rFonts w:ascii="Garamond" w:hAnsi="Garamond"/>
          <w:b/>
        </w:rPr>
      </w:pPr>
      <w:r w:rsidRPr="00813543">
        <w:rPr>
          <w:rFonts w:ascii="Garamond" w:hAnsi="Garamond"/>
          <w:b/>
        </w:rPr>
        <w:t>Best and f</w:t>
      </w:r>
      <w:r w:rsidR="008E71D1" w:rsidRPr="00813543">
        <w:rPr>
          <w:rFonts w:ascii="Garamond" w:hAnsi="Garamond"/>
          <w:b/>
        </w:rPr>
        <w:t>inal offer system</w:t>
      </w:r>
      <w:r w:rsidRPr="00813543">
        <w:rPr>
          <w:rFonts w:ascii="Garamond" w:hAnsi="Garamond"/>
          <w:b/>
        </w:rPr>
        <w:t>:</w:t>
      </w:r>
      <w:r w:rsidRPr="00813543">
        <w:rPr>
          <w:rFonts w:ascii="Garamond" w:hAnsi="Garamond"/>
        </w:rPr>
        <w:t xml:space="preserve"> Invitations for proposals are publically announced. Bids are received, evaluated and ranked – including from the original proponent.  The two best bids are selected for a second round, including the proposal from the original proponent.  Best and final offers are requested from the short-listed </w:t>
      </w:r>
      <w:r w:rsidR="00813543" w:rsidRPr="00813543">
        <w:rPr>
          <w:rFonts w:ascii="Garamond" w:hAnsi="Garamond"/>
        </w:rPr>
        <w:t>bidders. If the winning bidder is not the original proponent, the winner is required to reimburse their project development costs.</w:t>
      </w:r>
      <w:r w:rsidR="00813543" w:rsidRPr="00813543">
        <w:rPr>
          <w:rFonts w:ascii="Garamond" w:hAnsi="Garamond"/>
          <w:b/>
        </w:rPr>
        <w:t xml:space="preserve"> </w:t>
      </w:r>
      <w:r w:rsidRPr="00813543">
        <w:rPr>
          <w:rFonts w:ascii="Garamond" w:hAnsi="Garamond"/>
          <w:b/>
        </w:rPr>
        <w:t xml:space="preserve"> </w:t>
      </w:r>
    </w:p>
    <w:p w14:paraId="6E28692D" w14:textId="77777777" w:rsidR="00DA695F" w:rsidRDefault="00DA695F" w:rsidP="00616F78">
      <w:pPr>
        <w:spacing w:before="0" w:after="0" w:line="240" w:lineRule="auto"/>
        <w:rPr>
          <w:rFonts w:ascii="Garamond" w:hAnsi="Garamond"/>
        </w:rPr>
      </w:pPr>
    </w:p>
    <w:p w14:paraId="1C59AF1B" w14:textId="77777777" w:rsidR="001C5941" w:rsidRPr="00506C12" w:rsidRDefault="001C5941" w:rsidP="001C5941">
      <w:pPr>
        <w:spacing w:before="0" w:after="0" w:line="240" w:lineRule="auto"/>
        <w:jc w:val="left"/>
        <w:rPr>
          <w:rFonts w:ascii="Garamond" w:hAnsi="Garamond"/>
          <w:b/>
        </w:rPr>
      </w:pPr>
      <w:bookmarkStart w:id="58" w:name="_Toc269636041"/>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7</w:t>
      </w:r>
      <w:r w:rsidRPr="00506C12">
        <w:rPr>
          <w:rFonts w:ascii="Garamond" w:hAnsi="Garamond"/>
          <w:b/>
        </w:rPr>
        <w:fldChar w:fldCharType="end"/>
      </w:r>
      <w:r>
        <w:rPr>
          <w:rFonts w:ascii="Garamond" w:hAnsi="Garamond"/>
          <w:b/>
        </w:rPr>
        <w:t>:</w:t>
      </w:r>
      <w:r w:rsidRPr="00506C12">
        <w:rPr>
          <w:rFonts w:ascii="Garamond" w:hAnsi="Garamond"/>
          <w:b/>
        </w:rPr>
        <w:t xml:space="preserve"> </w:t>
      </w:r>
      <w:r>
        <w:rPr>
          <w:rFonts w:ascii="Garamond" w:hAnsi="Garamond"/>
          <w:b/>
        </w:rPr>
        <w:t>Problems with direct negotiations and unsolicited proposals</w:t>
      </w:r>
      <w:bookmarkEnd w:id="58"/>
    </w:p>
    <w:tbl>
      <w:tblPr>
        <w:tblStyle w:val="TableGrid"/>
        <w:tblW w:w="0" w:type="auto"/>
        <w:tblLook w:val="04A0" w:firstRow="1" w:lastRow="0" w:firstColumn="1" w:lastColumn="0" w:noHBand="0" w:noVBand="1"/>
      </w:tblPr>
      <w:tblGrid>
        <w:gridCol w:w="9242"/>
      </w:tblGrid>
      <w:tr w:rsidR="001C5941" w14:paraId="260EDFF8" w14:textId="77777777" w:rsidTr="000260E8">
        <w:tc>
          <w:tcPr>
            <w:tcW w:w="9242" w:type="dxa"/>
          </w:tcPr>
          <w:p w14:paraId="379F6D09" w14:textId="77777777" w:rsidR="001C5941" w:rsidRDefault="001C5941" w:rsidP="000260E8">
            <w:pPr>
              <w:spacing w:before="0" w:after="0" w:line="240" w:lineRule="auto"/>
              <w:rPr>
                <w:rFonts w:ascii="Garamond" w:hAnsi="Garamond"/>
                <w:b/>
              </w:rPr>
            </w:pPr>
          </w:p>
          <w:p w14:paraId="7A26BE05" w14:textId="0CFF02EC" w:rsidR="001C5941" w:rsidRPr="006108B3" w:rsidRDefault="001C5941" w:rsidP="000260E8">
            <w:pPr>
              <w:spacing w:before="0" w:after="0" w:line="240" w:lineRule="auto"/>
              <w:rPr>
                <w:rFonts w:ascii="Garamond" w:hAnsi="Garamond"/>
                <w:sz w:val="20"/>
                <w:szCs w:val="20"/>
              </w:rPr>
            </w:pPr>
            <w:r w:rsidRPr="006108B3">
              <w:rPr>
                <w:rFonts w:ascii="Garamond" w:hAnsi="Garamond"/>
                <w:sz w:val="20"/>
                <w:szCs w:val="20"/>
              </w:rPr>
              <w:t>Awarding concessions without competitive bidding can create public concern over the project legitimacy, as corruption can be more easily concealed if the award process is not transparent enough. The lack of transparency leaves them open to accusations of corrupt processes (even if they are not).  An open tender, even with only the original proponent, can demonstrate that there is only one interested bidder, and provides evidence of an authority’s commitment to transparence and fair processes.</w:t>
            </w:r>
            <w:r w:rsidRPr="006108B3">
              <w:rPr>
                <w:rStyle w:val="FootnoteReference"/>
                <w:rFonts w:ascii="Garamond" w:hAnsi="Garamond"/>
                <w:sz w:val="20"/>
                <w:szCs w:val="20"/>
              </w:rPr>
              <w:t xml:space="preserve"> </w:t>
            </w:r>
            <w:r w:rsidRPr="006108B3">
              <w:rPr>
                <w:rStyle w:val="FootnoteReference"/>
                <w:rFonts w:ascii="Garamond" w:hAnsi="Garamond"/>
                <w:sz w:val="20"/>
                <w:szCs w:val="20"/>
              </w:rPr>
              <w:footnoteReference w:id="35"/>
            </w:r>
            <w:r w:rsidRPr="006108B3">
              <w:rPr>
                <w:rFonts w:ascii="Garamond" w:hAnsi="Garamond"/>
                <w:sz w:val="20"/>
                <w:szCs w:val="20"/>
              </w:rPr>
              <w:t xml:space="preserve"> </w:t>
            </w:r>
            <w:r w:rsidR="006108B3" w:rsidRPr="006108B3">
              <w:rPr>
                <w:rFonts w:ascii="Garamond" w:hAnsi="Garamond"/>
                <w:sz w:val="20"/>
                <w:szCs w:val="20"/>
              </w:rPr>
              <w:t xml:space="preserve"> T</w:t>
            </w:r>
            <w:r w:rsidRPr="006108B3">
              <w:rPr>
                <w:rFonts w:ascii="Garamond" w:hAnsi="Garamond"/>
                <w:sz w:val="20"/>
                <w:szCs w:val="20"/>
              </w:rPr>
              <w:t>he World Bank does not allow unsolicited proposals to be used in projects that they fund, and advises that they should be used with extreme caution.</w:t>
            </w:r>
            <w:r w:rsidRPr="006108B3">
              <w:rPr>
                <w:rStyle w:val="FootnoteReference"/>
                <w:rFonts w:ascii="Garamond" w:hAnsi="Garamond"/>
                <w:sz w:val="20"/>
                <w:szCs w:val="20"/>
              </w:rPr>
              <w:footnoteReference w:id="36"/>
            </w:r>
          </w:p>
          <w:p w14:paraId="3B54B828" w14:textId="77777777" w:rsidR="001C5941" w:rsidRPr="006108B3" w:rsidRDefault="001C5941" w:rsidP="000260E8">
            <w:pPr>
              <w:spacing w:before="0" w:after="0" w:line="240" w:lineRule="auto"/>
              <w:rPr>
                <w:rFonts w:ascii="Garamond" w:hAnsi="Garamond"/>
                <w:sz w:val="20"/>
                <w:szCs w:val="20"/>
              </w:rPr>
            </w:pPr>
          </w:p>
          <w:p w14:paraId="3C29B790" w14:textId="45A248CC" w:rsidR="001C5941" w:rsidRPr="006108B3" w:rsidRDefault="001C5941" w:rsidP="000260E8">
            <w:pPr>
              <w:spacing w:before="0" w:after="0" w:line="240" w:lineRule="auto"/>
              <w:rPr>
                <w:rFonts w:ascii="Garamond" w:hAnsi="Garamond"/>
                <w:sz w:val="20"/>
                <w:szCs w:val="20"/>
              </w:rPr>
            </w:pPr>
            <w:r w:rsidRPr="006108B3">
              <w:rPr>
                <w:rFonts w:ascii="Garamond" w:hAnsi="Garamond"/>
                <w:sz w:val="20"/>
                <w:szCs w:val="20"/>
              </w:rPr>
              <w:t>Due to concerns with unsolicited proposals, the rest of this document relates to</w:t>
            </w:r>
            <w:r w:rsidR="005458A3">
              <w:rPr>
                <w:rFonts w:ascii="Garamond" w:hAnsi="Garamond"/>
                <w:sz w:val="20"/>
                <w:szCs w:val="20"/>
              </w:rPr>
              <w:t xml:space="preserve"> Option 1: Competitive bidding.</w:t>
            </w:r>
          </w:p>
          <w:p w14:paraId="2773F1C5" w14:textId="77777777" w:rsidR="001C5941" w:rsidRPr="00950E1B" w:rsidRDefault="001C5941" w:rsidP="000260E8">
            <w:pPr>
              <w:spacing w:before="0" w:after="0" w:line="240" w:lineRule="auto"/>
              <w:rPr>
                <w:rFonts w:ascii="Garamond" w:hAnsi="Garamond"/>
              </w:rPr>
            </w:pPr>
          </w:p>
        </w:tc>
      </w:tr>
    </w:tbl>
    <w:p w14:paraId="48193BEA" w14:textId="77777777" w:rsidR="00EC4C78" w:rsidRDefault="00EC4C78" w:rsidP="00616F78">
      <w:pPr>
        <w:spacing w:before="0" w:after="0" w:line="240" w:lineRule="auto"/>
        <w:rPr>
          <w:rFonts w:ascii="Garamond" w:hAnsi="Garamond"/>
        </w:rPr>
      </w:pPr>
    </w:p>
    <w:p w14:paraId="009259BF" w14:textId="77777777" w:rsidR="00C00F2B" w:rsidRDefault="00C00F2B" w:rsidP="00C00F2B">
      <w:pPr>
        <w:spacing w:before="0" w:after="0" w:line="240" w:lineRule="auto"/>
        <w:rPr>
          <w:rFonts w:ascii="Garamond" w:hAnsi="Garamond"/>
        </w:rPr>
      </w:pPr>
      <w:r>
        <w:rPr>
          <w:rFonts w:ascii="Garamond" w:hAnsi="Garamond"/>
          <w:noProof/>
        </w:rPr>
        <w:lastRenderedPageBreak/>
        <w:drawing>
          <wp:inline distT="0" distB="0" distL="0" distR="0" wp14:anchorId="09899343" wp14:editId="14CAE574">
            <wp:extent cx="2254250" cy="918633"/>
            <wp:effectExtent l="50800" t="25400" r="0" b="7239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A02981C" w14:textId="77777777" w:rsidR="00C00F2B" w:rsidRPr="006108B3" w:rsidRDefault="00C00F2B" w:rsidP="006108B3">
      <w:pPr>
        <w:spacing w:before="0" w:after="0" w:line="240" w:lineRule="auto"/>
        <w:rPr>
          <w:rFonts w:ascii="Garamond" w:hAnsi="Garamond"/>
        </w:rPr>
      </w:pPr>
    </w:p>
    <w:p w14:paraId="5DDDC838" w14:textId="2E8D2EB2" w:rsidR="00A7435D" w:rsidRPr="00A7435D" w:rsidRDefault="00A7435D" w:rsidP="00A7435D">
      <w:pPr>
        <w:pStyle w:val="Heading3"/>
        <w:rPr>
          <w:rFonts w:ascii="Garamond" w:hAnsi="Garamond"/>
        </w:rPr>
      </w:pPr>
      <w:bookmarkStart w:id="59" w:name="_Ref269383707"/>
      <w:bookmarkStart w:id="60" w:name="_Ref269383708"/>
      <w:bookmarkStart w:id="61" w:name="_Toc269636341"/>
      <w:r>
        <w:rPr>
          <w:rFonts w:ascii="Garamond" w:hAnsi="Garamond"/>
        </w:rPr>
        <w:t>Development of transaction materials</w:t>
      </w:r>
      <w:bookmarkEnd w:id="59"/>
      <w:bookmarkEnd w:id="60"/>
      <w:bookmarkEnd w:id="61"/>
    </w:p>
    <w:p w14:paraId="68C689CE" w14:textId="187EE976" w:rsidR="00E17283" w:rsidRDefault="00D00338" w:rsidP="00A7435D">
      <w:pPr>
        <w:rPr>
          <w:rFonts w:ascii="Garamond" w:hAnsi="Garamond"/>
        </w:rPr>
      </w:pPr>
      <w:r>
        <w:rPr>
          <w:rFonts w:ascii="Garamond" w:hAnsi="Garamond"/>
        </w:rPr>
        <w:t>A series of t</w:t>
      </w:r>
      <w:r w:rsidR="00E17283">
        <w:rPr>
          <w:rFonts w:ascii="Garamond" w:hAnsi="Garamond"/>
        </w:rPr>
        <w:t xml:space="preserve">ransaction materials </w:t>
      </w:r>
      <w:r>
        <w:rPr>
          <w:rFonts w:ascii="Garamond" w:hAnsi="Garamond"/>
        </w:rPr>
        <w:t xml:space="preserve">are needed to conduct </w:t>
      </w:r>
      <w:r w:rsidR="00E17283">
        <w:rPr>
          <w:rFonts w:ascii="Garamond" w:hAnsi="Garamond"/>
        </w:rPr>
        <w:t xml:space="preserve">competitive bidding for </w:t>
      </w:r>
      <w:r>
        <w:rPr>
          <w:rFonts w:ascii="Garamond" w:hAnsi="Garamond"/>
        </w:rPr>
        <w:t xml:space="preserve">tourism </w:t>
      </w:r>
      <w:r w:rsidR="00E17283">
        <w:rPr>
          <w:rFonts w:ascii="Garamond" w:hAnsi="Garamond"/>
        </w:rPr>
        <w:t>concessions</w:t>
      </w:r>
      <w:r>
        <w:rPr>
          <w:rFonts w:ascii="Garamond" w:hAnsi="Garamond"/>
        </w:rPr>
        <w:t xml:space="preserve">. </w:t>
      </w:r>
      <w:r w:rsidR="00E17283">
        <w:rPr>
          <w:rFonts w:ascii="Garamond" w:hAnsi="Garamond"/>
        </w:rPr>
        <w:t xml:space="preserve"> </w:t>
      </w:r>
      <w:r>
        <w:rPr>
          <w:rFonts w:ascii="Garamond" w:hAnsi="Garamond"/>
        </w:rPr>
        <w:t xml:space="preserve">The documents needed </w:t>
      </w:r>
      <w:r w:rsidR="00E17283">
        <w:rPr>
          <w:rFonts w:ascii="Garamond" w:hAnsi="Garamond"/>
        </w:rPr>
        <w:t xml:space="preserve">are outlined below, and templates are provided in section </w:t>
      </w:r>
      <w:r w:rsidR="00E17283">
        <w:rPr>
          <w:rFonts w:ascii="Garamond" w:hAnsi="Garamond"/>
        </w:rPr>
        <w:fldChar w:fldCharType="begin"/>
      </w:r>
      <w:r w:rsidR="00E17283">
        <w:rPr>
          <w:rFonts w:ascii="Garamond" w:hAnsi="Garamond"/>
        </w:rPr>
        <w:instrText xml:space="preserve"> REF _Ref268939862 \r \h </w:instrText>
      </w:r>
      <w:r w:rsidR="00E17283">
        <w:rPr>
          <w:rFonts w:ascii="Garamond" w:hAnsi="Garamond"/>
        </w:rPr>
      </w:r>
      <w:r w:rsidR="00E17283">
        <w:rPr>
          <w:rFonts w:ascii="Garamond" w:hAnsi="Garamond"/>
        </w:rPr>
        <w:fldChar w:fldCharType="separate"/>
      </w:r>
      <w:r w:rsidR="00E17283">
        <w:rPr>
          <w:rFonts w:ascii="Garamond" w:hAnsi="Garamond"/>
        </w:rPr>
        <w:t>4.3</w:t>
      </w:r>
      <w:r w:rsidR="00E17283">
        <w:rPr>
          <w:rFonts w:ascii="Garamond" w:hAnsi="Garamond"/>
        </w:rPr>
        <w:fldChar w:fldCharType="end"/>
      </w:r>
      <w:r w:rsidR="00E17283">
        <w:rPr>
          <w:rFonts w:ascii="Garamond" w:hAnsi="Garamond"/>
        </w:rPr>
        <w:t xml:space="preserve">. </w:t>
      </w:r>
      <w:r w:rsidR="00FB0527">
        <w:rPr>
          <w:rFonts w:ascii="Garamond" w:hAnsi="Garamond"/>
        </w:rPr>
        <w:t xml:space="preserve"> </w:t>
      </w:r>
      <w:r w:rsidR="009A0ACA">
        <w:rPr>
          <w:rFonts w:ascii="Garamond" w:hAnsi="Garamond"/>
        </w:rPr>
        <w:t>The materials, and the process, should be approved by the relevant agency responsible for signing the concession contract</w:t>
      </w:r>
      <w:r>
        <w:rPr>
          <w:rFonts w:ascii="Garamond" w:hAnsi="Garamond"/>
        </w:rPr>
        <w:t xml:space="preserve"> before the transaction process begins</w:t>
      </w:r>
      <w:r w:rsidR="009A0ACA">
        <w:rPr>
          <w:rFonts w:ascii="Garamond" w:hAnsi="Garamond"/>
        </w:rPr>
        <w:t xml:space="preserve">.  </w:t>
      </w:r>
      <w:r w:rsidR="00FB0527">
        <w:rPr>
          <w:rFonts w:ascii="Garamond" w:hAnsi="Garamond"/>
        </w:rPr>
        <w:t xml:space="preserve">The materials </w:t>
      </w:r>
      <w:r>
        <w:rPr>
          <w:rFonts w:ascii="Garamond" w:hAnsi="Garamond"/>
        </w:rPr>
        <w:t xml:space="preserve">that should be </w:t>
      </w:r>
      <w:r w:rsidR="00FB0527">
        <w:rPr>
          <w:rFonts w:ascii="Garamond" w:hAnsi="Garamond"/>
        </w:rPr>
        <w:t xml:space="preserve">developed include: </w:t>
      </w:r>
    </w:p>
    <w:p w14:paraId="49A2A54C" w14:textId="57CF0E89" w:rsidR="00DA43A4" w:rsidRDefault="00DA43A4" w:rsidP="00F47607">
      <w:pPr>
        <w:pStyle w:val="ListParagraph"/>
        <w:numPr>
          <w:ilvl w:val="0"/>
          <w:numId w:val="31"/>
        </w:numPr>
        <w:spacing w:before="0" w:after="0" w:line="240" w:lineRule="auto"/>
        <w:jc w:val="left"/>
        <w:rPr>
          <w:rFonts w:ascii="Garamond" w:hAnsi="Garamond"/>
        </w:rPr>
      </w:pPr>
      <w:r>
        <w:rPr>
          <w:rFonts w:ascii="Garamond" w:hAnsi="Garamond"/>
        </w:rPr>
        <w:t>A</w:t>
      </w:r>
      <w:r w:rsidR="00FB0527" w:rsidRPr="00B06C0D">
        <w:rPr>
          <w:rFonts w:ascii="Garamond" w:hAnsi="Garamond"/>
        </w:rPr>
        <w:t>dvertisements</w:t>
      </w:r>
      <w:r>
        <w:rPr>
          <w:rFonts w:ascii="Garamond" w:hAnsi="Garamond"/>
        </w:rPr>
        <w:t xml:space="preserve"> and r</w:t>
      </w:r>
      <w:r w:rsidR="00FB0527" w:rsidRPr="00DA43A4">
        <w:rPr>
          <w:rFonts w:ascii="Garamond" w:hAnsi="Garamond"/>
        </w:rPr>
        <w:t>equest</w:t>
      </w:r>
      <w:r>
        <w:rPr>
          <w:rFonts w:ascii="Garamond" w:hAnsi="Garamond"/>
        </w:rPr>
        <w:t>s</w:t>
      </w:r>
      <w:r w:rsidR="00FB0527" w:rsidRPr="00DA43A4">
        <w:rPr>
          <w:rFonts w:ascii="Garamond" w:hAnsi="Garamond"/>
        </w:rPr>
        <w:t xml:space="preserve"> for Expression of Interest</w:t>
      </w:r>
      <w:r>
        <w:rPr>
          <w:rFonts w:ascii="Garamond" w:hAnsi="Garamond"/>
        </w:rPr>
        <w:t xml:space="preserve"> (EoI)</w:t>
      </w:r>
      <w:r w:rsidR="00D00338">
        <w:rPr>
          <w:rFonts w:ascii="Garamond" w:hAnsi="Garamond"/>
        </w:rPr>
        <w:t>.</w:t>
      </w:r>
    </w:p>
    <w:p w14:paraId="0657F687" w14:textId="3D6D803A" w:rsidR="00FB0527" w:rsidRPr="00C923F9" w:rsidRDefault="00FB0527" w:rsidP="00F47607">
      <w:pPr>
        <w:pStyle w:val="ListParagraph"/>
        <w:numPr>
          <w:ilvl w:val="0"/>
          <w:numId w:val="31"/>
        </w:numPr>
        <w:spacing w:before="0" w:after="0" w:line="240" w:lineRule="auto"/>
        <w:jc w:val="left"/>
        <w:rPr>
          <w:rFonts w:ascii="Garamond" w:hAnsi="Garamond"/>
        </w:rPr>
      </w:pPr>
      <w:r w:rsidRPr="00DA43A4">
        <w:rPr>
          <w:rFonts w:ascii="Garamond" w:hAnsi="Garamond"/>
        </w:rPr>
        <w:t>Prequalification</w:t>
      </w:r>
      <w:r w:rsidR="00DA43A4">
        <w:rPr>
          <w:rFonts w:ascii="Garamond" w:hAnsi="Garamond"/>
        </w:rPr>
        <w:t xml:space="preserve"> requests</w:t>
      </w:r>
      <w:r w:rsidR="00C923F9">
        <w:rPr>
          <w:rFonts w:ascii="Garamond" w:hAnsi="Garamond"/>
        </w:rPr>
        <w:t xml:space="preserve"> and </w:t>
      </w:r>
      <w:r w:rsidR="00DA43A4" w:rsidRPr="00C923F9">
        <w:rPr>
          <w:rFonts w:ascii="Garamond" w:hAnsi="Garamond"/>
        </w:rPr>
        <w:t>screening checklists</w:t>
      </w:r>
      <w:r w:rsidR="00D00338">
        <w:rPr>
          <w:rFonts w:ascii="Garamond" w:hAnsi="Garamond"/>
        </w:rPr>
        <w:t>.</w:t>
      </w:r>
    </w:p>
    <w:p w14:paraId="4D4A90CF" w14:textId="2CDCFE79" w:rsidR="00FB0527" w:rsidRPr="00C923F9" w:rsidRDefault="00FB0527" w:rsidP="00F47607">
      <w:pPr>
        <w:pStyle w:val="ListParagraph"/>
        <w:numPr>
          <w:ilvl w:val="0"/>
          <w:numId w:val="31"/>
        </w:numPr>
        <w:spacing w:before="0" w:after="0" w:line="240" w:lineRule="auto"/>
        <w:jc w:val="left"/>
        <w:rPr>
          <w:rFonts w:ascii="Garamond" w:hAnsi="Garamond"/>
        </w:rPr>
      </w:pPr>
      <w:r w:rsidRPr="00B06C0D">
        <w:rPr>
          <w:rFonts w:ascii="Garamond" w:hAnsi="Garamond"/>
        </w:rPr>
        <w:t>Request for Proposals</w:t>
      </w:r>
      <w:r w:rsidR="00DA43A4">
        <w:rPr>
          <w:rFonts w:ascii="Garamond" w:hAnsi="Garamond"/>
        </w:rPr>
        <w:t xml:space="preserve"> (RfP)</w:t>
      </w:r>
      <w:r w:rsidR="00C923F9">
        <w:rPr>
          <w:rFonts w:ascii="Garamond" w:hAnsi="Garamond"/>
        </w:rPr>
        <w:t xml:space="preserve"> and</w:t>
      </w:r>
      <w:r w:rsidRPr="00C923F9">
        <w:rPr>
          <w:rFonts w:ascii="Garamond" w:hAnsi="Garamond"/>
        </w:rPr>
        <w:t xml:space="preserve"> screening checklist</w:t>
      </w:r>
      <w:r w:rsidR="00D00338">
        <w:rPr>
          <w:rFonts w:ascii="Garamond" w:hAnsi="Garamond"/>
        </w:rPr>
        <w:t>.</w:t>
      </w:r>
    </w:p>
    <w:p w14:paraId="40A239FA" w14:textId="351B33C9" w:rsidR="00FB0527" w:rsidRDefault="00FB0527" w:rsidP="00F47607">
      <w:pPr>
        <w:pStyle w:val="ListParagraph"/>
        <w:numPr>
          <w:ilvl w:val="0"/>
          <w:numId w:val="31"/>
        </w:numPr>
        <w:spacing w:before="0" w:after="0" w:line="240" w:lineRule="auto"/>
        <w:jc w:val="left"/>
        <w:rPr>
          <w:rFonts w:ascii="Garamond" w:hAnsi="Garamond"/>
        </w:rPr>
      </w:pPr>
      <w:r w:rsidRPr="00B06C0D">
        <w:rPr>
          <w:rFonts w:ascii="Garamond" w:hAnsi="Garamond"/>
        </w:rPr>
        <w:t>Contract</w:t>
      </w:r>
      <w:r w:rsidR="00D00338">
        <w:rPr>
          <w:rFonts w:ascii="Garamond" w:hAnsi="Garamond"/>
        </w:rPr>
        <w:t>.</w:t>
      </w:r>
      <w:r w:rsidRPr="00B06C0D">
        <w:rPr>
          <w:rFonts w:ascii="Garamond" w:hAnsi="Garamond"/>
        </w:rPr>
        <w:t xml:space="preserve"> </w:t>
      </w:r>
    </w:p>
    <w:p w14:paraId="72033560" w14:textId="6F9E78F6" w:rsidR="00AD5CB2" w:rsidRDefault="00AD5CB2" w:rsidP="00F47607">
      <w:pPr>
        <w:pStyle w:val="ListParagraph"/>
        <w:numPr>
          <w:ilvl w:val="0"/>
          <w:numId w:val="31"/>
        </w:numPr>
        <w:spacing w:before="0" w:after="0" w:line="240" w:lineRule="auto"/>
        <w:jc w:val="left"/>
        <w:rPr>
          <w:rFonts w:ascii="Garamond" w:hAnsi="Garamond"/>
        </w:rPr>
      </w:pPr>
      <w:r>
        <w:rPr>
          <w:rFonts w:ascii="Garamond" w:hAnsi="Garamond"/>
        </w:rPr>
        <w:t>Data room</w:t>
      </w:r>
      <w:r w:rsidR="00D00338">
        <w:rPr>
          <w:rFonts w:ascii="Garamond" w:hAnsi="Garamond"/>
        </w:rPr>
        <w:t>.</w:t>
      </w:r>
    </w:p>
    <w:p w14:paraId="5FC9A511" w14:textId="77777777" w:rsidR="001D51E4" w:rsidRDefault="001D51E4" w:rsidP="001D51E4">
      <w:pPr>
        <w:pStyle w:val="ListParagraph"/>
        <w:spacing w:before="0" w:after="0" w:line="240" w:lineRule="auto"/>
        <w:jc w:val="left"/>
        <w:rPr>
          <w:rFonts w:ascii="Garamond" w:hAnsi="Garamond"/>
        </w:rPr>
      </w:pPr>
    </w:p>
    <w:p w14:paraId="32F45DD8" w14:textId="63FAD392" w:rsidR="001D51E4" w:rsidRPr="00B06C0D" w:rsidRDefault="000E5613" w:rsidP="001D51E4">
      <w:pPr>
        <w:spacing w:before="0" w:after="0" w:line="240" w:lineRule="auto"/>
        <w:rPr>
          <w:rFonts w:ascii="Garamond" w:hAnsi="Garamond"/>
          <w:b/>
        </w:rPr>
      </w:pPr>
      <w:r>
        <w:rPr>
          <w:rFonts w:ascii="Garamond" w:hAnsi="Garamond"/>
          <w:b/>
        </w:rPr>
        <w:t xml:space="preserve">1. </w:t>
      </w:r>
      <w:r w:rsidR="001D51E4">
        <w:rPr>
          <w:rFonts w:ascii="Garamond" w:hAnsi="Garamond"/>
          <w:b/>
        </w:rPr>
        <w:t xml:space="preserve">Advertisements and requests for Expression of Interest (EoI) </w:t>
      </w:r>
    </w:p>
    <w:p w14:paraId="63C0E522" w14:textId="77777777" w:rsidR="001D51E4" w:rsidRDefault="001D51E4" w:rsidP="001D51E4">
      <w:pPr>
        <w:spacing w:before="0" w:after="0" w:line="240" w:lineRule="auto"/>
        <w:rPr>
          <w:rFonts w:ascii="Garamond" w:hAnsi="Garamond"/>
        </w:rPr>
      </w:pPr>
    </w:p>
    <w:p w14:paraId="288FE864" w14:textId="004421AC" w:rsidR="001D51E4" w:rsidRPr="001D51E4" w:rsidRDefault="001D51E4" w:rsidP="001D51E4">
      <w:pPr>
        <w:spacing w:before="0" w:after="0" w:line="240" w:lineRule="auto"/>
        <w:rPr>
          <w:rFonts w:ascii="Garamond" w:hAnsi="Garamond"/>
        </w:rPr>
      </w:pPr>
      <w:r>
        <w:rPr>
          <w:rFonts w:ascii="Garamond" w:hAnsi="Garamond"/>
        </w:rPr>
        <w:t>Adverts and marketing collateral</w:t>
      </w:r>
      <w:r w:rsidRPr="00175BCB">
        <w:rPr>
          <w:rFonts w:ascii="Garamond" w:hAnsi="Garamond"/>
        </w:rPr>
        <w:t xml:space="preserve"> should be highly attractive and enticing materials, </w:t>
      </w:r>
      <w:r>
        <w:rPr>
          <w:rFonts w:ascii="Garamond" w:hAnsi="Garamond"/>
        </w:rPr>
        <w:t>which</w:t>
      </w:r>
      <w:r w:rsidRPr="00175BCB">
        <w:rPr>
          <w:rFonts w:ascii="Garamond" w:hAnsi="Garamond"/>
        </w:rPr>
        <w:t xml:space="preserve"> aim to capture investor interes</w:t>
      </w:r>
      <w:r>
        <w:rPr>
          <w:rFonts w:ascii="Garamond" w:hAnsi="Garamond"/>
        </w:rPr>
        <w:t>t</w:t>
      </w:r>
      <w:r w:rsidRPr="00175BCB">
        <w:rPr>
          <w:rFonts w:ascii="Garamond" w:hAnsi="Garamond"/>
        </w:rPr>
        <w:t xml:space="preserve"> and encourage them to</w:t>
      </w:r>
      <w:r w:rsidR="00577478">
        <w:rPr>
          <w:rFonts w:ascii="Garamond" w:hAnsi="Garamond"/>
        </w:rPr>
        <w:t xml:space="preserve"> contact the authority to indicate their interest in the</w:t>
      </w:r>
      <w:r w:rsidRPr="00175BCB">
        <w:rPr>
          <w:rFonts w:ascii="Garamond" w:hAnsi="Garamond"/>
        </w:rPr>
        <w:t xml:space="preserve"> bid.</w:t>
      </w:r>
      <w:r>
        <w:rPr>
          <w:rFonts w:ascii="Garamond" w:hAnsi="Garamond"/>
          <w:color w:val="4F81BD" w:themeColor="accent1"/>
        </w:rPr>
        <w:t xml:space="preserve"> </w:t>
      </w:r>
      <w:r>
        <w:rPr>
          <w:rFonts w:ascii="Garamond" w:hAnsi="Garamond"/>
        </w:rPr>
        <w:t>They should include</w:t>
      </w:r>
      <w:r w:rsidRPr="00175BCB">
        <w:rPr>
          <w:rFonts w:ascii="Garamond" w:hAnsi="Garamond"/>
        </w:rPr>
        <w:t xml:space="preserve"> the bidding p</w:t>
      </w:r>
      <w:r>
        <w:rPr>
          <w:rFonts w:ascii="Garamond" w:hAnsi="Garamond"/>
        </w:rPr>
        <w:t xml:space="preserve">rocess and timeframes involved, and where additional information can be found. </w:t>
      </w:r>
      <w:r>
        <w:rPr>
          <w:rFonts w:ascii="Garamond" w:hAnsi="Garamond"/>
          <w:color w:val="4F81BD" w:themeColor="accent1"/>
        </w:rPr>
        <w:t xml:space="preserve"> </w:t>
      </w:r>
      <w:r w:rsidRPr="008143CB">
        <w:rPr>
          <w:rFonts w:ascii="Garamond" w:hAnsi="Garamond"/>
        </w:rPr>
        <w:t>A</w:t>
      </w:r>
      <w:r>
        <w:rPr>
          <w:rFonts w:ascii="Garamond" w:hAnsi="Garamond"/>
        </w:rPr>
        <w:t xml:space="preserve"> dedicated concession </w:t>
      </w:r>
      <w:r w:rsidRPr="008143CB">
        <w:rPr>
          <w:rFonts w:ascii="Garamond" w:hAnsi="Garamond"/>
        </w:rPr>
        <w:t xml:space="preserve">promotion website can provide up-to-date investor information that can be used to reach many investors simultaneously at a low cost. </w:t>
      </w:r>
      <w:r w:rsidR="00577478">
        <w:rPr>
          <w:rFonts w:ascii="Garamond" w:hAnsi="Garamond"/>
        </w:rPr>
        <w:t xml:space="preserve"> </w:t>
      </w:r>
    </w:p>
    <w:p w14:paraId="5AB0EBC3" w14:textId="77777777" w:rsidR="001D51E4" w:rsidRDefault="001D51E4" w:rsidP="001D51E4">
      <w:pPr>
        <w:spacing w:before="0" w:after="0" w:line="240" w:lineRule="auto"/>
        <w:rPr>
          <w:rFonts w:ascii="Garamond" w:hAnsi="Garamond"/>
        </w:rPr>
      </w:pPr>
    </w:p>
    <w:p w14:paraId="2D040AA9" w14:textId="28937729" w:rsidR="001D51E4" w:rsidRPr="00577478" w:rsidRDefault="000E5613" w:rsidP="001D51E4">
      <w:pPr>
        <w:spacing w:before="0" w:after="0" w:line="240" w:lineRule="auto"/>
        <w:rPr>
          <w:rFonts w:ascii="Garamond" w:hAnsi="Garamond"/>
          <w:b/>
        </w:rPr>
      </w:pPr>
      <w:r>
        <w:rPr>
          <w:rFonts w:ascii="Garamond" w:hAnsi="Garamond"/>
          <w:b/>
        </w:rPr>
        <w:t xml:space="preserve">2. </w:t>
      </w:r>
      <w:r w:rsidR="001D51E4" w:rsidRPr="00577478">
        <w:rPr>
          <w:rFonts w:ascii="Garamond" w:hAnsi="Garamond"/>
          <w:b/>
        </w:rPr>
        <w:t>Prequalification requests and screening checklist</w:t>
      </w:r>
    </w:p>
    <w:p w14:paraId="0F19C8CB" w14:textId="77777777" w:rsidR="001D51E4" w:rsidRPr="00577478" w:rsidRDefault="001D51E4" w:rsidP="001D51E4">
      <w:pPr>
        <w:widowControl w:val="0"/>
        <w:autoSpaceDE w:val="0"/>
        <w:autoSpaceDN w:val="0"/>
        <w:adjustRightInd w:val="0"/>
        <w:spacing w:before="0" w:after="0" w:line="240" w:lineRule="auto"/>
        <w:rPr>
          <w:rFonts w:ascii="Garamond" w:hAnsi="Garamond" w:cs="Times"/>
        </w:rPr>
      </w:pPr>
    </w:p>
    <w:p w14:paraId="6B38CD97" w14:textId="74116BCF" w:rsidR="001D51E4" w:rsidRPr="00577478" w:rsidRDefault="001D51E4" w:rsidP="001D51E4">
      <w:pPr>
        <w:widowControl w:val="0"/>
        <w:autoSpaceDE w:val="0"/>
        <w:autoSpaceDN w:val="0"/>
        <w:adjustRightInd w:val="0"/>
        <w:spacing w:before="0" w:after="0" w:line="240" w:lineRule="auto"/>
        <w:rPr>
          <w:rFonts w:ascii="Garamond" w:hAnsi="Garamond" w:cs="Times"/>
        </w:rPr>
      </w:pPr>
      <w:r w:rsidRPr="00577478">
        <w:rPr>
          <w:rFonts w:ascii="Garamond" w:hAnsi="Garamond" w:cs="Times"/>
        </w:rPr>
        <w:t>The Request for Prequalification</w:t>
      </w:r>
      <w:r w:rsidR="00307B77">
        <w:rPr>
          <w:rFonts w:ascii="Garamond" w:hAnsi="Garamond" w:cs="Times"/>
        </w:rPr>
        <w:t xml:space="preserve"> </w:t>
      </w:r>
      <w:r w:rsidRPr="00577478">
        <w:rPr>
          <w:rFonts w:ascii="Garamond" w:hAnsi="Garamond" w:cs="Times"/>
        </w:rPr>
        <w:t xml:space="preserve">is a legal document that </w:t>
      </w:r>
      <w:r w:rsidR="000260E8">
        <w:rPr>
          <w:rFonts w:ascii="Garamond" w:hAnsi="Garamond" w:cs="Times"/>
        </w:rPr>
        <w:t>should include</w:t>
      </w:r>
      <w:r w:rsidRPr="00577478">
        <w:rPr>
          <w:rFonts w:ascii="Garamond" w:hAnsi="Garamond" w:cs="Times"/>
        </w:rPr>
        <w:t>:</w:t>
      </w:r>
      <w:r w:rsidRPr="00577478">
        <w:rPr>
          <w:rStyle w:val="FootnoteReference"/>
          <w:rFonts w:ascii="Garamond" w:hAnsi="Garamond" w:cs="Times"/>
        </w:rPr>
        <w:t xml:space="preserve"> </w:t>
      </w:r>
      <w:r w:rsidRPr="00577478">
        <w:rPr>
          <w:rStyle w:val="FootnoteReference"/>
          <w:rFonts w:ascii="Garamond" w:hAnsi="Garamond" w:cs="Times"/>
        </w:rPr>
        <w:footnoteReference w:id="37"/>
      </w:r>
    </w:p>
    <w:p w14:paraId="7D33FC62" w14:textId="77777777" w:rsidR="001D51E4" w:rsidRPr="00577478" w:rsidRDefault="001D51E4" w:rsidP="001D51E4">
      <w:pPr>
        <w:widowControl w:val="0"/>
        <w:autoSpaceDE w:val="0"/>
        <w:autoSpaceDN w:val="0"/>
        <w:adjustRightInd w:val="0"/>
        <w:spacing w:before="0" w:after="0" w:line="240" w:lineRule="auto"/>
        <w:rPr>
          <w:rFonts w:ascii="Garamond" w:hAnsi="Garamond" w:cs="Times"/>
        </w:rPr>
      </w:pPr>
    </w:p>
    <w:p w14:paraId="4E663669"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 xml:space="preserve">a timetable for the bidding process, including deadlines for the submission of proposals; </w:t>
      </w:r>
    </w:p>
    <w:p w14:paraId="424228E5"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 xml:space="preserve">local laws regulating the bidding process; </w:t>
      </w:r>
    </w:p>
    <w:p w14:paraId="7F27AF5B"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 xml:space="preserve">prequalification criteria (normally technical and financial) for single companies and consortia; </w:t>
      </w:r>
    </w:p>
    <w:p w14:paraId="307F31EB" w14:textId="45DC06AF"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lega</w:t>
      </w:r>
      <w:r w:rsidR="00615489">
        <w:rPr>
          <w:rFonts w:ascii="Garamond" w:hAnsi="Garamond" w:cs="Times"/>
        </w:rPr>
        <w:t>l requirements from proponents;</w:t>
      </w:r>
      <w:r w:rsidRPr="00577478">
        <w:rPr>
          <w:rFonts w:ascii="Garamond" w:hAnsi="Garamond" w:cs="Times"/>
        </w:rPr>
        <w:t xml:space="preserve"> </w:t>
      </w:r>
    </w:p>
    <w:p w14:paraId="1AAAC197" w14:textId="1771A82D" w:rsidR="001D51E4"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rules for the setup and/or modification of prequalified investors following the closing of the prequalification process (e.g., allowing or restricting associations among potential investors or changes to consortia</w:t>
      </w:r>
      <w:r w:rsidR="00615489">
        <w:rPr>
          <w:rFonts w:ascii="Garamond" w:hAnsi="Garamond" w:cs="Times"/>
        </w:rPr>
        <w:t xml:space="preserve">; </w:t>
      </w:r>
    </w:p>
    <w:p w14:paraId="4A81193D" w14:textId="19D9BC2B" w:rsidR="00615489" w:rsidRPr="00615489" w:rsidRDefault="00615489" w:rsidP="00F47607">
      <w:pPr>
        <w:pStyle w:val="ListParagraph"/>
        <w:widowControl w:val="0"/>
        <w:numPr>
          <w:ilvl w:val="0"/>
          <w:numId w:val="32"/>
        </w:numPr>
        <w:autoSpaceDE w:val="0"/>
        <w:autoSpaceDN w:val="0"/>
        <w:adjustRightInd w:val="0"/>
        <w:spacing w:before="0" w:after="0" w:line="240" w:lineRule="auto"/>
        <w:rPr>
          <w:rFonts w:ascii="Garamond" w:hAnsi="Garamond" w:cs="Times"/>
        </w:rPr>
      </w:pPr>
      <w:r>
        <w:rPr>
          <w:rFonts w:ascii="Garamond" w:hAnsi="Garamond" w:cs="Times"/>
        </w:rPr>
        <w:t>r</w:t>
      </w:r>
      <w:r w:rsidRPr="00615489">
        <w:rPr>
          <w:rFonts w:ascii="Garamond" w:hAnsi="Garamond" w:cs="Times"/>
        </w:rPr>
        <w:t>equests for references or verifiable information to ensure the veracity of the information presented</w:t>
      </w:r>
      <w:r>
        <w:rPr>
          <w:rFonts w:ascii="Garamond" w:hAnsi="Garamond" w:cs="Times"/>
        </w:rPr>
        <w:t>;</w:t>
      </w:r>
      <w:r w:rsidRPr="00615489">
        <w:rPr>
          <w:rStyle w:val="FootnoteReference"/>
          <w:rFonts w:ascii="Garamond" w:hAnsi="Garamond" w:cs="Times"/>
        </w:rPr>
        <w:t xml:space="preserve"> </w:t>
      </w:r>
      <w:r w:rsidRPr="00577478">
        <w:rPr>
          <w:rStyle w:val="FootnoteReference"/>
          <w:rFonts w:ascii="Garamond" w:hAnsi="Garamond" w:cs="Times"/>
        </w:rPr>
        <w:footnoteReference w:id="38"/>
      </w:r>
      <w:r>
        <w:t xml:space="preserve"> </w:t>
      </w:r>
      <w:r>
        <w:rPr>
          <w:rFonts w:ascii="Garamond" w:hAnsi="Garamond" w:cs="Times"/>
        </w:rPr>
        <w:t>and</w:t>
      </w:r>
    </w:p>
    <w:p w14:paraId="23D180B2"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r w:rsidRPr="00577478">
        <w:rPr>
          <w:rFonts w:ascii="Garamond" w:hAnsi="Garamond" w:cs="Times"/>
        </w:rPr>
        <w:t>model letters for submission of prequalification requests.</w:t>
      </w:r>
    </w:p>
    <w:p w14:paraId="32FA13D4" w14:textId="77777777" w:rsidR="001D51E4" w:rsidRPr="00577478" w:rsidRDefault="001D51E4" w:rsidP="001D51E4">
      <w:pPr>
        <w:spacing w:before="0" w:after="0" w:line="240" w:lineRule="auto"/>
        <w:rPr>
          <w:rFonts w:ascii="Garamond" w:hAnsi="Garamond"/>
        </w:rPr>
      </w:pPr>
    </w:p>
    <w:p w14:paraId="3ED77EBD" w14:textId="517600F9" w:rsidR="001D51E4" w:rsidRPr="00577478" w:rsidRDefault="00577281" w:rsidP="001D51E4">
      <w:pPr>
        <w:widowControl w:val="0"/>
        <w:autoSpaceDE w:val="0"/>
        <w:autoSpaceDN w:val="0"/>
        <w:adjustRightInd w:val="0"/>
        <w:spacing w:before="0" w:after="0" w:line="240" w:lineRule="auto"/>
        <w:rPr>
          <w:rFonts w:ascii="Garamond" w:hAnsi="Garamond" w:cs="Times"/>
        </w:rPr>
      </w:pPr>
      <w:r>
        <w:rPr>
          <w:rFonts w:ascii="Garamond" w:hAnsi="Garamond" w:cs="Times"/>
        </w:rPr>
        <w:t>The information memorandum</w:t>
      </w:r>
      <w:r w:rsidR="001D51E4" w:rsidRPr="00577478">
        <w:rPr>
          <w:rFonts w:ascii="Garamond" w:hAnsi="Garamond" w:cs="Times"/>
        </w:rPr>
        <w:t xml:space="preserve"> includes a detailed description of the proposed project in relation to legal, technical, financial, and process elements. It should also include information on the strengths and potential of the tourism concessions.</w:t>
      </w:r>
      <w:r w:rsidR="001D51E4" w:rsidRPr="00577478">
        <w:rPr>
          <w:rStyle w:val="FootnoteReference"/>
          <w:rFonts w:ascii="Garamond" w:hAnsi="Garamond" w:cs="Times"/>
        </w:rPr>
        <w:t xml:space="preserve"> </w:t>
      </w:r>
      <w:r w:rsidR="001D51E4" w:rsidRPr="00577478">
        <w:rPr>
          <w:rStyle w:val="FootnoteReference"/>
          <w:rFonts w:ascii="Garamond" w:hAnsi="Garamond" w:cs="Times"/>
        </w:rPr>
        <w:footnoteReference w:id="39"/>
      </w:r>
      <w:r w:rsidR="001D51E4" w:rsidRPr="00577478">
        <w:rPr>
          <w:rFonts w:ascii="Garamond" w:hAnsi="Garamond" w:cs="Times"/>
        </w:rPr>
        <w:t xml:space="preserve"> </w:t>
      </w:r>
    </w:p>
    <w:p w14:paraId="34F85C07" w14:textId="77777777" w:rsidR="001D51E4" w:rsidRPr="00577478" w:rsidRDefault="001D51E4" w:rsidP="001D51E4">
      <w:pPr>
        <w:spacing w:before="0" w:after="0" w:line="240" w:lineRule="auto"/>
        <w:rPr>
          <w:rFonts w:ascii="Garamond" w:hAnsi="Garamond"/>
        </w:rPr>
      </w:pPr>
    </w:p>
    <w:p w14:paraId="08A1F6EF" w14:textId="511488C6" w:rsidR="00577478" w:rsidRPr="00577478" w:rsidRDefault="001D51E4" w:rsidP="00577478">
      <w:pPr>
        <w:widowControl w:val="0"/>
        <w:autoSpaceDE w:val="0"/>
        <w:autoSpaceDN w:val="0"/>
        <w:adjustRightInd w:val="0"/>
        <w:spacing w:before="0" w:after="0" w:line="240" w:lineRule="auto"/>
        <w:rPr>
          <w:rFonts w:ascii="Garamond" w:hAnsi="Garamond" w:cs="Times"/>
        </w:rPr>
      </w:pPr>
      <w:r w:rsidRPr="00577478">
        <w:rPr>
          <w:rFonts w:ascii="Garamond" w:hAnsi="Garamond"/>
        </w:rPr>
        <w:t>Developing criteria for pre-qualification can be controversial and may involve lengthy discussions with the authority and other stakeholders.</w:t>
      </w:r>
      <w:r w:rsidRPr="00577478">
        <w:rPr>
          <w:rStyle w:val="FootnoteReference"/>
          <w:rFonts w:ascii="Garamond" w:hAnsi="Garamond" w:cs="Times"/>
        </w:rPr>
        <w:footnoteReference w:id="40"/>
      </w:r>
      <w:r w:rsidRPr="00577478">
        <w:rPr>
          <w:rFonts w:ascii="Garamond" w:hAnsi="Garamond"/>
        </w:rPr>
        <w:t xml:space="preserve"> </w:t>
      </w:r>
      <w:r w:rsidR="00577478">
        <w:rPr>
          <w:rFonts w:ascii="Garamond" w:hAnsi="Garamond"/>
        </w:rPr>
        <w:t xml:space="preserve"> Criteria should include evaluation on a</w:t>
      </w:r>
      <w:r w:rsidR="00577478" w:rsidRPr="00577478">
        <w:rPr>
          <w:rFonts w:ascii="Garamond" w:hAnsi="Garamond" w:cs="Times"/>
        </w:rPr>
        <w:t xml:space="preserve"> “pass or fail” basis (i.e. a </w:t>
      </w:r>
      <w:r w:rsidR="00577478" w:rsidRPr="00577478">
        <w:rPr>
          <w:rFonts w:ascii="Garamond" w:hAnsi="Garamond" w:cs="Times"/>
        </w:rPr>
        <w:lastRenderedPageBreak/>
        <w:t>firm is prequalified only if it satisfies all the specified criteria).</w:t>
      </w:r>
      <w:r w:rsidR="00615489" w:rsidRPr="00615489">
        <w:rPr>
          <w:rStyle w:val="FootnoteReference"/>
          <w:rFonts w:ascii="Garamond" w:hAnsi="Garamond" w:cs="Times"/>
        </w:rPr>
        <w:t xml:space="preserve"> </w:t>
      </w:r>
      <w:r w:rsidR="00615489" w:rsidRPr="00577478">
        <w:rPr>
          <w:rStyle w:val="FootnoteReference"/>
          <w:rFonts w:ascii="Garamond" w:hAnsi="Garamond" w:cs="Times"/>
        </w:rPr>
        <w:footnoteReference w:id="41"/>
      </w:r>
    </w:p>
    <w:p w14:paraId="67CDBCA8" w14:textId="77777777" w:rsidR="001D51E4" w:rsidRPr="00577478" w:rsidRDefault="001D51E4" w:rsidP="001D51E4">
      <w:pPr>
        <w:spacing w:before="0" w:after="0" w:line="240" w:lineRule="auto"/>
        <w:rPr>
          <w:rFonts w:ascii="Garamond" w:hAnsi="Garamond"/>
        </w:rPr>
      </w:pPr>
    </w:p>
    <w:p w14:paraId="50CDF5B8" w14:textId="3C4F21AF" w:rsidR="001D51E4" w:rsidRPr="00577478" w:rsidRDefault="000E5613" w:rsidP="001D51E4">
      <w:pPr>
        <w:spacing w:before="0" w:after="0" w:line="240" w:lineRule="auto"/>
        <w:jc w:val="left"/>
        <w:rPr>
          <w:rFonts w:ascii="Garamond" w:hAnsi="Garamond"/>
          <w:b/>
        </w:rPr>
      </w:pPr>
      <w:r>
        <w:rPr>
          <w:rFonts w:ascii="Garamond" w:hAnsi="Garamond"/>
          <w:b/>
        </w:rPr>
        <w:t xml:space="preserve">3. </w:t>
      </w:r>
      <w:r w:rsidR="001D51E4" w:rsidRPr="00577478">
        <w:rPr>
          <w:rFonts w:ascii="Garamond" w:hAnsi="Garamond"/>
          <w:b/>
        </w:rPr>
        <w:t>Request for Proposals (RfP) and screening checklist</w:t>
      </w:r>
    </w:p>
    <w:p w14:paraId="46733875" w14:textId="77777777" w:rsidR="001D51E4" w:rsidRPr="00577478" w:rsidRDefault="001D51E4" w:rsidP="001D51E4">
      <w:pPr>
        <w:spacing w:before="0" w:after="0" w:line="240" w:lineRule="auto"/>
        <w:rPr>
          <w:rFonts w:ascii="Garamond" w:hAnsi="Garamond"/>
        </w:rPr>
      </w:pPr>
    </w:p>
    <w:p w14:paraId="1B273A59" w14:textId="59BCF929" w:rsidR="001D51E4" w:rsidRPr="005A09C9" w:rsidRDefault="001D51E4" w:rsidP="001D51E4">
      <w:pPr>
        <w:spacing w:before="0" w:after="0" w:line="240" w:lineRule="auto"/>
        <w:rPr>
          <w:rFonts w:ascii="Garamond" w:hAnsi="Garamond"/>
          <w:color w:val="4F81BD" w:themeColor="accent1"/>
        </w:rPr>
      </w:pPr>
      <w:r w:rsidRPr="00577478">
        <w:rPr>
          <w:rFonts w:ascii="Garamond" w:hAnsi="Garamond"/>
        </w:rPr>
        <w:t xml:space="preserve">The RfP contains detailed instructions, templates and procedures for the tender process, including: </w:t>
      </w:r>
    </w:p>
    <w:p w14:paraId="4AF63129" w14:textId="77777777" w:rsidR="001D51E4" w:rsidRPr="00577478" w:rsidRDefault="001D51E4" w:rsidP="001D51E4">
      <w:pPr>
        <w:spacing w:before="0" w:after="0" w:line="240" w:lineRule="auto"/>
        <w:rPr>
          <w:rFonts w:ascii="Garamond" w:hAnsi="Garamond"/>
        </w:rPr>
      </w:pPr>
    </w:p>
    <w:p w14:paraId="61C8E103"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applicable law and regulation underpinning the bidding process; </w:t>
      </w:r>
    </w:p>
    <w:p w14:paraId="726D183D"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guidelines for submitting technical and financial proposals, </w:t>
      </w:r>
    </w:p>
    <w:p w14:paraId="5E47C86E"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draft concession contracts,</w:t>
      </w:r>
    </w:p>
    <w:p w14:paraId="02E10FF0"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the date, time, location, and manner of submission for offers in response to the tender; </w:t>
      </w:r>
    </w:p>
    <w:p w14:paraId="0F2D13DA"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bidding criteria; </w:t>
      </w:r>
    </w:p>
    <w:p w14:paraId="4F5F4560"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the evaluation committee and award process; </w:t>
      </w:r>
    </w:p>
    <w:p w14:paraId="14F540AE"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 xml:space="preserve">administrative recourse; and </w:t>
      </w:r>
    </w:p>
    <w:p w14:paraId="1FBF0DA8" w14:textId="2409A2E9" w:rsidR="001D51E4" w:rsidRPr="00577478" w:rsidRDefault="001D51E4" w:rsidP="00F47607">
      <w:pPr>
        <w:pStyle w:val="ListParagraph"/>
        <w:numPr>
          <w:ilvl w:val="0"/>
          <w:numId w:val="33"/>
        </w:numPr>
        <w:spacing w:before="0" w:after="0" w:line="240" w:lineRule="auto"/>
        <w:jc w:val="left"/>
        <w:rPr>
          <w:rFonts w:ascii="Garamond" w:hAnsi="Garamond" w:cs="Times"/>
        </w:rPr>
      </w:pPr>
      <w:r w:rsidRPr="00577478">
        <w:rPr>
          <w:rFonts w:ascii="Garamond" w:hAnsi="Garamond" w:cs="Times"/>
        </w:rPr>
        <w:t>project documents (</w:t>
      </w:r>
      <w:r w:rsidR="006108B3">
        <w:rPr>
          <w:rFonts w:ascii="Garamond" w:hAnsi="Garamond" w:cs="Times"/>
        </w:rPr>
        <w:t xml:space="preserve">e.g. background on concession sites, stakeholders, attractions, environmental and social studies, business plan, legal elements (see </w:t>
      </w:r>
      <w:r w:rsidR="006108B3">
        <w:rPr>
          <w:rFonts w:ascii="Garamond" w:hAnsi="Garamond" w:cs="Times"/>
        </w:rPr>
        <w:fldChar w:fldCharType="begin"/>
      </w:r>
      <w:r w:rsidR="006108B3">
        <w:rPr>
          <w:rFonts w:ascii="Garamond" w:hAnsi="Garamond" w:cs="Times"/>
        </w:rPr>
        <w:instrText xml:space="preserve"> REF _Ref269384760 \r \h </w:instrText>
      </w:r>
      <w:r w:rsidR="006108B3">
        <w:rPr>
          <w:rFonts w:ascii="Garamond" w:hAnsi="Garamond" w:cs="Times"/>
        </w:rPr>
      </w:r>
      <w:r w:rsidR="006108B3">
        <w:rPr>
          <w:rFonts w:ascii="Garamond" w:hAnsi="Garamond" w:cs="Times"/>
        </w:rPr>
        <w:fldChar w:fldCharType="separate"/>
      </w:r>
      <w:r w:rsidR="006108B3">
        <w:rPr>
          <w:rFonts w:ascii="Garamond" w:hAnsi="Garamond" w:cs="Times"/>
        </w:rPr>
        <w:t>3.3.1</w:t>
      </w:r>
      <w:r w:rsidR="006108B3">
        <w:rPr>
          <w:rFonts w:ascii="Garamond" w:hAnsi="Garamond" w:cs="Times"/>
        </w:rPr>
        <w:fldChar w:fldCharType="end"/>
      </w:r>
      <w:r w:rsidR="006108B3">
        <w:rPr>
          <w:rFonts w:ascii="Garamond" w:hAnsi="Garamond" w:cs="Times"/>
        </w:rPr>
        <w:t>)</w:t>
      </w:r>
      <w:r w:rsidRPr="00577478">
        <w:rPr>
          <w:rFonts w:ascii="Garamond" w:hAnsi="Garamond" w:cs="Times"/>
        </w:rPr>
        <w:t xml:space="preserve">). </w:t>
      </w:r>
    </w:p>
    <w:p w14:paraId="7F7BB394" w14:textId="77777777" w:rsidR="001D51E4" w:rsidRPr="00577478" w:rsidRDefault="001D51E4" w:rsidP="001D51E4">
      <w:pPr>
        <w:spacing w:before="0" w:after="0" w:line="240" w:lineRule="auto"/>
        <w:rPr>
          <w:rFonts w:ascii="Garamond" w:hAnsi="Garamond"/>
        </w:rPr>
      </w:pPr>
    </w:p>
    <w:p w14:paraId="47A534E5" w14:textId="77777777" w:rsidR="001D51E4" w:rsidRPr="00577478" w:rsidRDefault="001D51E4" w:rsidP="001D51E4">
      <w:pPr>
        <w:spacing w:before="0" w:after="0" w:line="240" w:lineRule="auto"/>
        <w:rPr>
          <w:rFonts w:ascii="Garamond" w:hAnsi="Garamond"/>
        </w:rPr>
      </w:pPr>
      <w:r w:rsidRPr="00577478">
        <w:rPr>
          <w:rFonts w:ascii="Garamond" w:hAnsi="Garamond"/>
        </w:rPr>
        <w:t xml:space="preserve">The RfP specifies the amount of time available for questions and clarifications, and the time by which the full proposal must be submitted (e.g. 30-60 days). </w:t>
      </w:r>
    </w:p>
    <w:p w14:paraId="7F569BCF" w14:textId="77777777" w:rsidR="001D51E4" w:rsidRPr="00577478" w:rsidRDefault="001D51E4" w:rsidP="001D51E4">
      <w:pPr>
        <w:spacing w:before="0" w:after="0" w:line="240" w:lineRule="auto"/>
        <w:rPr>
          <w:rFonts w:ascii="Garamond" w:hAnsi="Garamond"/>
        </w:rPr>
      </w:pPr>
    </w:p>
    <w:p w14:paraId="38A451DB" w14:textId="122CA9CD" w:rsidR="001D51E4" w:rsidRPr="00577478" w:rsidRDefault="001D51E4" w:rsidP="001D51E4">
      <w:pPr>
        <w:spacing w:before="0" w:after="0" w:line="240" w:lineRule="auto"/>
        <w:rPr>
          <w:rFonts w:ascii="Garamond" w:hAnsi="Garamond"/>
        </w:rPr>
      </w:pPr>
      <w:r w:rsidRPr="00577478">
        <w:rPr>
          <w:rFonts w:ascii="Garamond" w:hAnsi="Garamond"/>
        </w:rPr>
        <w:t xml:space="preserve">Proposal evaluation tools need to be prepared </w:t>
      </w:r>
      <w:r w:rsidR="005A09C9">
        <w:rPr>
          <w:rFonts w:ascii="Garamond" w:hAnsi="Garamond"/>
        </w:rPr>
        <w:t>that allow a</w:t>
      </w:r>
      <w:r w:rsidRPr="00577478">
        <w:rPr>
          <w:rFonts w:ascii="Garamond" w:hAnsi="Garamond"/>
        </w:rPr>
        <w:t xml:space="preserve"> systematic evaluation of proposals in line with issues including</w:t>
      </w:r>
      <w:r w:rsidR="005A09C9">
        <w:rPr>
          <w:rFonts w:ascii="Garamond" w:hAnsi="Garamond"/>
        </w:rPr>
        <w:t xml:space="preserve"> the</w:t>
      </w:r>
      <w:r w:rsidRPr="00577478">
        <w:rPr>
          <w:rFonts w:ascii="Garamond" w:hAnsi="Garamond"/>
        </w:rPr>
        <w:t>:</w:t>
      </w:r>
    </w:p>
    <w:p w14:paraId="12E50991" w14:textId="77777777" w:rsidR="001D51E4" w:rsidRPr="00577478" w:rsidRDefault="001D51E4" w:rsidP="001D51E4">
      <w:pPr>
        <w:spacing w:before="0" w:after="0" w:line="240" w:lineRule="auto"/>
        <w:rPr>
          <w:rFonts w:ascii="Garamond" w:hAnsi="Garamond"/>
        </w:rPr>
      </w:pPr>
    </w:p>
    <w:p w14:paraId="77ACAC54" w14:textId="67C86145" w:rsidR="001D51E4" w:rsidRPr="00577478" w:rsidRDefault="001D51E4" w:rsidP="00F47607">
      <w:pPr>
        <w:pStyle w:val="ListParagraph"/>
        <w:numPr>
          <w:ilvl w:val="0"/>
          <w:numId w:val="34"/>
        </w:numPr>
        <w:spacing w:before="0" w:after="0" w:line="240" w:lineRule="auto"/>
        <w:jc w:val="left"/>
        <w:rPr>
          <w:rFonts w:ascii="Garamond" w:hAnsi="Garamond"/>
          <w:b/>
        </w:rPr>
      </w:pPr>
      <w:r w:rsidRPr="00577478">
        <w:rPr>
          <w:rFonts w:ascii="Garamond" w:hAnsi="Garamond"/>
          <w:b/>
        </w:rPr>
        <w:t>Financial offer</w:t>
      </w:r>
      <w:r w:rsidR="00C01CC2" w:rsidRPr="00BB53B9">
        <w:rPr>
          <w:rFonts w:ascii="Garamond" w:hAnsi="Garamond"/>
          <w:b/>
        </w:rPr>
        <w:t>:</w:t>
      </w:r>
      <w:r w:rsidR="00C01CC2" w:rsidRPr="00BB53B9">
        <w:rPr>
          <w:rFonts w:ascii="Garamond" w:hAnsi="Garamond"/>
        </w:rPr>
        <w:t xml:space="preserve"> </w:t>
      </w:r>
      <w:r w:rsidR="00BB53B9" w:rsidRPr="00BB53B9">
        <w:rPr>
          <w:rFonts w:ascii="Garamond" w:hAnsi="Garamond"/>
        </w:rPr>
        <w:t>including evaluation of guaranteed and variable amounts</w:t>
      </w:r>
      <w:r w:rsidR="00BB53B9">
        <w:rPr>
          <w:rFonts w:ascii="Garamond" w:hAnsi="Garamond"/>
        </w:rPr>
        <w:t xml:space="preserve"> in relation to the financial viability of the product</w:t>
      </w:r>
      <w:r w:rsidR="00BB53B9" w:rsidRPr="00BB53B9">
        <w:rPr>
          <w:rFonts w:ascii="Garamond" w:hAnsi="Garamond"/>
        </w:rPr>
        <w:t xml:space="preserve">; </w:t>
      </w:r>
    </w:p>
    <w:p w14:paraId="365C1C9C" w14:textId="220F1870" w:rsidR="001D51E4" w:rsidRPr="00577478" w:rsidRDefault="001D51E4" w:rsidP="00F47607">
      <w:pPr>
        <w:pStyle w:val="ListParagraph"/>
        <w:numPr>
          <w:ilvl w:val="0"/>
          <w:numId w:val="34"/>
        </w:numPr>
        <w:spacing w:before="0" w:after="0" w:line="240" w:lineRule="auto"/>
        <w:jc w:val="left"/>
        <w:rPr>
          <w:rFonts w:ascii="Garamond" w:hAnsi="Garamond"/>
        </w:rPr>
      </w:pPr>
      <w:r w:rsidRPr="00577478">
        <w:rPr>
          <w:rFonts w:ascii="Garamond" w:hAnsi="Garamond"/>
          <w:b/>
        </w:rPr>
        <w:t>Social and development impacts</w:t>
      </w:r>
      <w:r w:rsidRPr="00577478">
        <w:rPr>
          <w:rFonts w:ascii="Garamond" w:hAnsi="Garamond"/>
        </w:rPr>
        <w:t>: including local employment, equity, procurement and corporate social responsibility proposals</w:t>
      </w:r>
      <w:r w:rsidR="00C01CC2">
        <w:rPr>
          <w:rFonts w:ascii="Garamond" w:hAnsi="Garamond"/>
        </w:rPr>
        <w:t>; and</w:t>
      </w:r>
    </w:p>
    <w:p w14:paraId="06C25D86" w14:textId="77777777" w:rsidR="001D51E4" w:rsidRPr="00577478" w:rsidRDefault="001D51E4" w:rsidP="00F47607">
      <w:pPr>
        <w:pStyle w:val="ListParagraph"/>
        <w:numPr>
          <w:ilvl w:val="0"/>
          <w:numId w:val="34"/>
        </w:numPr>
        <w:spacing w:before="0" w:after="0" w:line="240" w:lineRule="auto"/>
        <w:jc w:val="left"/>
        <w:rPr>
          <w:rFonts w:ascii="Garamond" w:hAnsi="Garamond"/>
        </w:rPr>
      </w:pPr>
      <w:r w:rsidRPr="00577478">
        <w:rPr>
          <w:rFonts w:ascii="Garamond" w:hAnsi="Garamond"/>
          <w:b/>
        </w:rPr>
        <w:t>Environmental impacts:</w:t>
      </w:r>
      <w:r w:rsidRPr="00577478">
        <w:rPr>
          <w:rFonts w:ascii="Garamond" w:hAnsi="Garamond"/>
        </w:rPr>
        <w:t xml:space="preserve"> including avoidance and mitigation of negative impacts of construction and operation, in addition to conservation management activities (if relevant). </w:t>
      </w:r>
    </w:p>
    <w:p w14:paraId="60F25E45" w14:textId="77777777" w:rsidR="001D51E4" w:rsidRPr="00577478" w:rsidRDefault="001D51E4" w:rsidP="001D51E4">
      <w:pPr>
        <w:spacing w:before="0" w:after="0" w:line="240" w:lineRule="auto"/>
        <w:rPr>
          <w:rFonts w:ascii="Garamond" w:hAnsi="Garamond"/>
        </w:rPr>
      </w:pPr>
    </w:p>
    <w:p w14:paraId="4D175D46" w14:textId="7C49C5D6" w:rsidR="001D51E4" w:rsidRPr="00577478" w:rsidRDefault="000E5613" w:rsidP="001D51E4">
      <w:pPr>
        <w:spacing w:before="0" w:after="0" w:line="240" w:lineRule="auto"/>
        <w:rPr>
          <w:rFonts w:ascii="Garamond" w:hAnsi="Garamond"/>
          <w:b/>
        </w:rPr>
      </w:pPr>
      <w:r>
        <w:rPr>
          <w:rFonts w:ascii="Garamond" w:hAnsi="Garamond"/>
          <w:b/>
        </w:rPr>
        <w:t xml:space="preserve">4. </w:t>
      </w:r>
      <w:r w:rsidR="001D51E4" w:rsidRPr="00577478">
        <w:rPr>
          <w:rFonts w:ascii="Garamond" w:hAnsi="Garamond"/>
          <w:b/>
        </w:rPr>
        <w:t>C</w:t>
      </w:r>
      <w:r w:rsidR="00D54DBC">
        <w:rPr>
          <w:rFonts w:ascii="Garamond" w:hAnsi="Garamond"/>
          <w:b/>
        </w:rPr>
        <w:t>oncession agreement</w:t>
      </w:r>
    </w:p>
    <w:p w14:paraId="6FC71430" w14:textId="77777777" w:rsidR="0037316F" w:rsidRDefault="0037316F" w:rsidP="0037316F">
      <w:pPr>
        <w:widowControl w:val="0"/>
        <w:autoSpaceDE w:val="0"/>
        <w:autoSpaceDN w:val="0"/>
        <w:adjustRightInd w:val="0"/>
        <w:spacing w:before="0" w:after="0" w:line="240" w:lineRule="auto"/>
        <w:rPr>
          <w:rFonts w:ascii="Garamond" w:hAnsi="Garamond"/>
        </w:rPr>
      </w:pPr>
    </w:p>
    <w:p w14:paraId="7A255449" w14:textId="77777777" w:rsidR="006941AA" w:rsidRDefault="00BB53B9" w:rsidP="006941AA">
      <w:pPr>
        <w:widowControl w:val="0"/>
        <w:autoSpaceDE w:val="0"/>
        <w:autoSpaceDN w:val="0"/>
        <w:adjustRightInd w:val="0"/>
        <w:spacing w:before="0" w:after="0" w:line="240" w:lineRule="auto"/>
        <w:rPr>
          <w:rFonts w:ascii="Garamond" w:hAnsi="Garamond" w:cs="Arial"/>
        </w:rPr>
      </w:pPr>
      <w:r>
        <w:rPr>
          <w:rFonts w:ascii="Garamond" w:hAnsi="Garamond"/>
        </w:rPr>
        <w:t>A</w:t>
      </w:r>
      <w:r w:rsidR="0037316F">
        <w:rPr>
          <w:rFonts w:ascii="Garamond" w:hAnsi="Garamond"/>
        </w:rPr>
        <w:t xml:space="preserve"> concession agreement</w:t>
      </w:r>
      <w:r>
        <w:rPr>
          <w:rFonts w:ascii="Garamond" w:hAnsi="Garamond"/>
        </w:rPr>
        <w:t xml:space="preserve"> should be drafted with very careful consideration. It</w:t>
      </w:r>
      <w:r w:rsidR="0037316F">
        <w:rPr>
          <w:rFonts w:ascii="Garamond" w:hAnsi="Garamond"/>
        </w:rPr>
        <w:t xml:space="preserve"> </w:t>
      </w:r>
      <w:r w:rsidR="0037316F" w:rsidRPr="009B2FE3">
        <w:rPr>
          <w:rFonts w:ascii="Garamond" w:hAnsi="Garamond" w:cs="Arial"/>
        </w:rPr>
        <w:t xml:space="preserve">describes the bundle of rights given to the private investor by the protected area authority in return for specified obligations that they will undertake. It is </w:t>
      </w:r>
      <w:r w:rsidR="0037316F" w:rsidRPr="008C7B38">
        <w:rPr>
          <w:rFonts w:ascii="Garamond" w:hAnsi="Garamond" w:cs="Arial"/>
          <w:b/>
        </w:rPr>
        <w:t>the</w:t>
      </w:r>
      <w:r w:rsidR="0037316F" w:rsidRPr="009B2FE3">
        <w:rPr>
          <w:rFonts w:ascii="Garamond" w:hAnsi="Garamond" w:cs="Arial"/>
        </w:rPr>
        <w:t xml:space="preserve"> central document as it achieves transfer and allocation of risks and ensures bankability</w:t>
      </w:r>
      <w:r w:rsidR="006941AA">
        <w:rPr>
          <w:rFonts w:ascii="Garamond" w:hAnsi="Garamond" w:cs="Arial"/>
        </w:rPr>
        <w:t>.</w:t>
      </w:r>
      <w:r w:rsidR="0037316F" w:rsidRPr="009B2FE3">
        <w:rPr>
          <w:rFonts w:ascii="Garamond" w:hAnsi="Garamond" w:cs="Arial"/>
        </w:rPr>
        <w:t xml:space="preserve"> The agreement protects the interests of both the authority and the private partner.  Key elements of a </w:t>
      </w:r>
      <w:r w:rsidR="006941AA">
        <w:rPr>
          <w:rFonts w:ascii="Garamond" w:hAnsi="Garamond" w:cs="Arial"/>
        </w:rPr>
        <w:t xml:space="preserve">tourism </w:t>
      </w:r>
      <w:r w:rsidR="0037316F" w:rsidRPr="009B2FE3">
        <w:rPr>
          <w:rFonts w:ascii="Garamond" w:hAnsi="Garamond" w:cs="Arial"/>
        </w:rPr>
        <w:t>concession agreement are outlined in the figure below.</w:t>
      </w:r>
      <w:r w:rsidR="0037316F">
        <w:rPr>
          <w:rStyle w:val="FootnoteReference"/>
          <w:rFonts w:ascii="Garamond" w:hAnsi="Garamond" w:cs="Arial"/>
        </w:rPr>
        <w:footnoteReference w:id="42"/>
      </w:r>
      <w:r w:rsidR="0037316F" w:rsidRPr="009B2FE3">
        <w:rPr>
          <w:rFonts w:ascii="Garamond" w:hAnsi="Garamond" w:cs="Arial"/>
        </w:rPr>
        <w:t xml:space="preserve"> </w:t>
      </w:r>
    </w:p>
    <w:p w14:paraId="23BF2418" w14:textId="77777777" w:rsidR="006941AA" w:rsidRDefault="006941AA" w:rsidP="006941AA">
      <w:pPr>
        <w:widowControl w:val="0"/>
        <w:autoSpaceDE w:val="0"/>
        <w:autoSpaceDN w:val="0"/>
        <w:adjustRightInd w:val="0"/>
        <w:spacing w:before="0" w:after="0" w:line="240" w:lineRule="auto"/>
        <w:rPr>
          <w:rFonts w:ascii="Garamond" w:hAnsi="Garamond" w:cs="Arial"/>
        </w:rPr>
      </w:pPr>
    </w:p>
    <w:p w14:paraId="60EED6C1" w14:textId="77777777" w:rsidR="000128F9" w:rsidRDefault="000128F9">
      <w:pPr>
        <w:spacing w:before="0" w:after="0" w:line="240" w:lineRule="auto"/>
        <w:jc w:val="left"/>
        <w:rPr>
          <w:rFonts w:ascii="Garamond" w:hAnsi="Garamond"/>
          <w:b/>
        </w:rPr>
      </w:pPr>
      <w:bookmarkStart w:id="62" w:name="_Toc269636030"/>
      <w:r>
        <w:rPr>
          <w:rFonts w:ascii="Garamond" w:hAnsi="Garamond"/>
          <w:b/>
        </w:rPr>
        <w:br w:type="page"/>
      </w:r>
    </w:p>
    <w:p w14:paraId="1457549B" w14:textId="559C1C19" w:rsidR="006941AA" w:rsidRPr="006941AA" w:rsidRDefault="006941AA" w:rsidP="006941AA">
      <w:pPr>
        <w:widowControl w:val="0"/>
        <w:autoSpaceDE w:val="0"/>
        <w:autoSpaceDN w:val="0"/>
        <w:adjustRightInd w:val="0"/>
        <w:spacing w:before="0" w:after="0" w:line="240" w:lineRule="auto"/>
        <w:rPr>
          <w:rFonts w:ascii="Garamond" w:hAnsi="Garamond" w:cs="Arial"/>
          <w:b/>
        </w:rPr>
      </w:pPr>
      <w:r w:rsidRPr="006941AA">
        <w:rPr>
          <w:rFonts w:ascii="Garamond" w:hAnsi="Garamond"/>
          <w:b/>
        </w:rPr>
        <w:lastRenderedPageBreak/>
        <w:t xml:space="preserve">Figure </w:t>
      </w:r>
      <w:r w:rsidRPr="006941AA">
        <w:rPr>
          <w:rFonts w:ascii="Garamond" w:hAnsi="Garamond"/>
          <w:b/>
        </w:rPr>
        <w:fldChar w:fldCharType="begin"/>
      </w:r>
      <w:r w:rsidRPr="006941AA">
        <w:rPr>
          <w:rFonts w:ascii="Garamond" w:hAnsi="Garamond"/>
          <w:b/>
        </w:rPr>
        <w:instrText xml:space="preserve"> SEQ Figure \* ARABIC </w:instrText>
      </w:r>
      <w:r w:rsidRPr="006941AA">
        <w:rPr>
          <w:rFonts w:ascii="Garamond" w:hAnsi="Garamond"/>
          <w:b/>
        </w:rPr>
        <w:fldChar w:fldCharType="separate"/>
      </w:r>
      <w:r w:rsidRPr="006941AA">
        <w:rPr>
          <w:rFonts w:ascii="Garamond" w:hAnsi="Garamond"/>
          <w:b/>
          <w:noProof/>
        </w:rPr>
        <w:t>1</w:t>
      </w:r>
      <w:r w:rsidRPr="006941AA">
        <w:rPr>
          <w:rFonts w:ascii="Garamond" w:hAnsi="Garamond"/>
          <w:b/>
        </w:rPr>
        <w:fldChar w:fldCharType="end"/>
      </w:r>
      <w:r w:rsidRPr="006941AA">
        <w:rPr>
          <w:rFonts w:ascii="Garamond" w:hAnsi="Garamond"/>
          <w:b/>
        </w:rPr>
        <w:t>: Concession agreement outline</w:t>
      </w:r>
      <w:bookmarkEnd w:id="62"/>
    </w:p>
    <w:p w14:paraId="3897BA94" w14:textId="77777777" w:rsidR="0037316F" w:rsidRPr="00945DB2" w:rsidRDefault="0037316F" w:rsidP="0037316F">
      <w:pPr>
        <w:widowControl w:val="0"/>
        <w:autoSpaceDE w:val="0"/>
        <w:autoSpaceDN w:val="0"/>
        <w:adjustRightInd w:val="0"/>
        <w:rPr>
          <w:rFonts w:ascii="Garamond" w:hAnsi="Garamond" w:cs="Arial"/>
        </w:rPr>
      </w:pPr>
    </w:p>
    <w:p w14:paraId="2FDD96FC" w14:textId="77777777" w:rsidR="0037316F" w:rsidRDefault="0037316F" w:rsidP="0037316F">
      <w:pPr>
        <w:widowControl w:val="0"/>
        <w:autoSpaceDE w:val="0"/>
        <w:autoSpaceDN w:val="0"/>
        <w:adjustRightInd w:val="0"/>
        <w:spacing w:after="240"/>
        <w:rPr>
          <w:rFonts w:ascii="Times" w:hAnsi="Times" w:cs="Times"/>
          <w:sz w:val="26"/>
          <w:szCs w:val="26"/>
        </w:rPr>
      </w:pPr>
      <w:r>
        <w:rPr>
          <w:rFonts w:ascii="Times" w:hAnsi="Times" w:cs="Times"/>
          <w:noProof/>
          <w:sz w:val="26"/>
          <w:szCs w:val="26"/>
        </w:rPr>
        <w:drawing>
          <wp:inline distT="0" distB="0" distL="0" distR="0" wp14:anchorId="62F60581" wp14:editId="287B00AD">
            <wp:extent cx="3600264" cy="2229822"/>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386" cy="2229897"/>
                    </a:xfrm>
                    <a:prstGeom prst="rect">
                      <a:avLst/>
                    </a:prstGeom>
                    <a:noFill/>
                    <a:ln>
                      <a:noFill/>
                    </a:ln>
                  </pic:spPr>
                </pic:pic>
              </a:graphicData>
            </a:graphic>
          </wp:inline>
        </w:drawing>
      </w:r>
    </w:p>
    <w:p w14:paraId="285B0A75" w14:textId="77777777" w:rsidR="00933DC3" w:rsidRPr="006B0F88" w:rsidRDefault="00933DC3" w:rsidP="00933DC3">
      <w:pPr>
        <w:widowControl w:val="0"/>
        <w:autoSpaceDE w:val="0"/>
        <w:autoSpaceDN w:val="0"/>
        <w:adjustRightInd w:val="0"/>
        <w:spacing w:after="240"/>
        <w:rPr>
          <w:rFonts w:ascii="Garamond" w:hAnsi="Garamond" w:cs="Arial"/>
        </w:rPr>
      </w:pPr>
      <w:r>
        <w:rPr>
          <w:rFonts w:ascii="Garamond" w:hAnsi="Garamond" w:cs="Arial"/>
        </w:rPr>
        <w:t xml:space="preserve">The contract should allow certain monitoring elements to take place, including: </w:t>
      </w:r>
      <w:r>
        <w:rPr>
          <w:rStyle w:val="FootnoteReference"/>
          <w:rFonts w:ascii="Garamond" w:hAnsi="Garamond" w:cs="Arial"/>
        </w:rPr>
        <w:footnoteReference w:id="43"/>
      </w:r>
    </w:p>
    <w:p w14:paraId="47ACFD13" w14:textId="1BCA2FBF"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regular management committee meetings between the concessi</w:t>
      </w:r>
      <w:r w:rsidR="0062390B">
        <w:rPr>
          <w:rFonts w:ascii="Garamond" w:hAnsi="Garamond"/>
        </w:rPr>
        <w:t xml:space="preserve">onaire and the </w:t>
      </w:r>
      <w:r w:rsidR="006941AA">
        <w:rPr>
          <w:rFonts w:ascii="Garamond" w:hAnsi="Garamond"/>
        </w:rPr>
        <w:t>authority’s contract m</w:t>
      </w:r>
      <w:r w:rsidR="0062390B">
        <w:rPr>
          <w:rFonts w:ascii="Garamond" w:hAnsi="Garamond"/>
        </w:rPr>
        <w:t>anager</w:t>
      </w:r>
      <w:r>
        <w:rPr>
          <w:rFonts w:ascii="Garamond" w:hAnsi="Garamond"/>
        </w:rPr>
        <w:t>;</w:t>
      </w:r>
    </w:p>
    <w:p w14:paraId="5275A22F" w14:textId="3CBB50EF"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Have physical access to the f</w:t>
      </w:r>
      <w:r>
        <w:rPr>
          <w:rFonts w:ascii="Garamond" w:hAnsi="Garamond"/>
        </w:rPr>
        <w:t>acility at all reasonable times;</w:t>
      </w:r>
    </w:p>
    <w:p w14:paraId="05DBCE94" w14:textId="5A944712"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Have access to the accounts a</w:t>
      </w:r>
      <w:r>
        <w:rPr>
          <w:rFonts w:ascii="Garamond" w:hAnsi="Garamond"/>
        </w:rPr>
        <w:t>nd other records of the project;</w:t>
      </w:r>
    </w:p>
    <w:p w14:paraId="5C90ADA6" w14:textId="51B2CFA1"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user (tourist/customers)-satis</w:t>
      </w:r>
      <w:r>
        <w:rPr>
          <w:rFonts w:ascii="Garamond" w:hAnsi="Garamond"/>
        </w:rPr>
        <w:t>faction surveys to be conducted;</w:t>
      </w:r>
    </w:p>
    <w:p w14:paraId="3562A7C0" w14:textId="0EF57484"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the publication of regular rep</w:t>
      </w:r>
      <w:r>
        <w:rPr>
          <w:rFonts w:ascii="Garamond" w:hAnsi="Garamond"/>
        </w:rPr>
        <w:t>orts on contractual performance; and</w:t>
      </w:r>
    </w:p>
    <w:p w14:paraId="6790C8A3" w14:textId="5CDEC183" w:rsidR="00C00F2B" w:rsidRPr="00C00F2B"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 xml:space="preserve">Appoint auditors and other agents for the purpose of independent reviews or audit. </w:t>
      </w:r>
    </w:p>
    <w:p w14:paraId="09A04938" w14:textId="7001A01D" w:rsidR="00845749" w:rsidRPr="00AD5CB2" w:rsidRDefault="00AD5CB2" w:rsidP="00A7435D">
      <w:pPr>
        <w:rPr>
          <w:rFonts w:ascii="Garamond" w:hAnsi="Garamond"/>
          <w:b/>
        </w:rPr>
      </w:pPr>
      <w:r w:rsidRPr="00AD5CB2">
        <w:rPr>
          <w:rFonts w:ascii="Garamond" w:hAnsi="Garamond"/>
          <w:b/>
        </w:rPr>
        <w:t>5. Data room</w:t>
      </w:r>
    </w:p>
    <w:p w14:paraId="5AEC8C55" w14:textId="7C7B3D43" w:rsidR="00AD5CB2" w:rsidRDefault="00AD5CB2" w:rsidP="00AD5CB2">
      <w:pPr>
        <w:widowControl w:val="0"/>
        <w:autoSpaceDE w:val="0"/>
        <w:autoSpaceDN w:val="0"/>
        <w:adjustRightInd w:val="0"/>
        <w:spacing w:before="0" w:after="0" w:line="240" w:lineRule="auto"/>
        <w:rPr>
          <w:rFonts w:ascii="Garamond" w:hAnsi="Garamond"/>
        </w:rPr>
      </w:pPr>
      <w:r>
        <w:rPr>
          <w:rFonts w:ascii="Garamond" w:hAnsi="Garamond"/>
        </w:rPr>
        <w:t>Establish a data room where all of the detailed technical, legal and financial information that relates to the concession sites can be found.</w:t>
      </w:r>
      <w:r w:rsidRPr="005C4B5F">
        <w:rPr>
          <w:rStyle w:val="FootnoteReference"/>
          <w:rFonts w:ascii="Times" w:hAnsi="Times" w:cs="Times"/>
          <w:sz w:val="30"/>
          <w:szCs w:val="30"/>
        </w:rPr>
        <w:t xml:space="preserve"> </w:t>
      </w:r>
      <w:r w:rsidRPr="00577478">
        <w:rPr>
          <w:rStyle w:val="FootnoteReference"/>
          <w:rFonts w:ascii="Garamond" w:hAnsi="Garamond" w:cs="Times"/>
        </w:rPr>
        <w:footnoteReference w:id="44"/>
      </w:r>
      <w:r w:rsidRPr="00577478">
        <w:rPr>
          <w:rFonts w:ascii="Garamond" w:hAnsi="Garamond"/>
        </w:rPr>
        <w:t xml:space="preserve"> </w:t>
      </w:r>
      <w:r w:rsidR="006941AA">
        <w:rPr>
          <w:rFonts w:ascii="Garamond" w:hAnsi="Garamond"/>
        </w:rPr>
        <w:t xml:space="preserve">This room, and its contents, should be available for use by bidders as they prepare their proposals. </w:t>
      </w:r>
      <w:r>
        <w:rPr>
          <w:rFonts w:ascii="Garamond" w:hAnsi="Garamond"/>
        </w:rPr>
        <w:t xml:space="preserve"> This includes information from previous phases and steps, including:</w:t>
      </w:r>
    </w:p>
    <w:p w14:paraId="3FD08381" w14:textId="77777777" w:rsidR="00AD5CB2" w:rsidRDefault="00AD5CB2" w:rsidP="00AD5CB2">
      <w:pPr>
        <w:widowControl w:val="0"/>
        <w:autoSpaceDE w:val="0"/>
        <w:autoSpaceDN w:val="0"/>
        <w:adjustRightInd w:val="0"/>
        <w:spacing w:before="0" w:after="0" w:line="240" w:lineRule="auto"/>
        <w:rPr>
          <w:rFonts w:ascii="Garamond" w:hAnsi="Garamond"/>
        </w:rPr>
      </w:pPr>
    </w:p>
    <w:p w14:paraId="3D51B18C" w14:textId="65093865"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Stakeholder engagement reports</w:t>
      </w:r>
      <w:r w:rsidR="00BA437B">
        <w:rPr>
          <w:rFonts w:ascii="Garamond" w:hAnsi="Garamond"/>
        </w:rPr>
        <w:t>.</w:t>
      </w:r>
    </w:p>
    <w:p w14:paraId="02151EDB" w14:textId="2DC55AD3"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Environmental and social assessment reports</w:t>
      </w:r>
      <w:r w:rsidR="00BA437B">
        <w:rPr>
          <w:rFonts w:ascii="Garamond" w:hAnsi="Garamond"/>
        </w:rPr>
        <w:t>.</w:t>
      </w:r>
    </w:p>
    <w:p w14:paraId="7F4D669C" w14:textId="073A2C38"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Risk assessment</w:t>
      </w:r>
      <w:r w:rsidR="00BA437B">
        <w:rPr>
          <w:rFonts w:ascii="Garamond" w:hAnsi="Garamond"/>
        </w:rPr>
        <w:t>.</w:t>
      </w:r>
    </w:p>
    <w:p w14:paraId="57667193" w14:textId="5DBF1278"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Tourism and financial analysis</w:t>
      </w:r>
      <w:r w:rsidR="00BA437B">
        <w:rPr>
          <w:rFonts w:ascii="Garamond" w:hAnsi="Garamond"/>
        </w:rPr>
        <w:t xml:space="preserve">, including the high-level business plan. </w:t>
      </w:r>
    </w:p>
    <w:p w14:paraId="101FEB66" w14:textId="5393B811" w:rsidR="00AD5CB2" w:rsidRPr="005C4B5F" w:rsidRDefault="00BA437B"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Pr>
          <w:rFonts w:ascii="Garamond" w:hAnsi="Garamond"/>
        </w:rPr>
        <w:t>Legal due diligence.</w:t>
      </w:r>
    </w:p>
    <w:p w14:paraId="3396571C" w14:textId="77777777" w:rsidR="00AD5CB2" w:rsidRDefault="00AD5CB2" w:rsidP="00AD5CB2">
      <w:pPr>
        <w:widowControl w:val="0"/>
        <w:autoSpaceDE w:val="0"/>
        <w:autoSpaceDN w:val="0"/>
        <w:adjustRightInd w:val="0"/>
        <w:spacing w:before="0" w:after="0" w:line="240" w:lineRule="auto"/>
        <w:rPr>
          <w:rFonts w:ascii="Garamond" w:hAnsi="Garamond"/>
        </w:rPr>
      </w:pPr>
    </w:p>
    <w:p w14:paraId="49AEE897" w14:textId="1EEA3E7C" w:rsidR="0052757E" w:rsidRDefault="00AD5CB2" w:rsidP="00341BFB">
      <w:pPr>
        <w:widowControl w:val="0"/>
        <w:autoSpaceDE w:val="0"/>
        <w:autoSpaceDN w:val="0"/>
        <w:adjustRightInd w:val="0"/>
        <w:spacing w:before="0" w:after="0" w:line="240" w:lineRule="auto"/>
      </w:pPr>
      <w:r>
        <w:rPr>
          <w:rFonts w:ascii="Garamond" w:hAnsi="Garamond"/>
        </w:rPr>
        <w:t xml:space="preserve">The data room may </w:t>
      </w:r>
      <w:r w:rsidRPr="00711FDB">
        <w:rPr>
          <w:rFonts w:ascii="Garamond" w:hAnsi="Garamond"/>
        </w:rPr>
        <w:t>be a local and secure library of documents, CD-ROMs, or an online data room</w:t>
      </w:r>
      <w:r>
        <w:rPr>
          <w:rFonts w:ascii="Garamond" w:hAnsi="Garamond"/>
        </w:rPr>
        <w:t>. The room needs to be secure, from an information security perspective.</w:t>
      </w:r>
      <w:r w:rsidRPr="00AD5CB2">
        <w:rPr>
          <w:rStyle w:val="FootnoteReference"/>
          <w:rFonts w:ascii="Garamond" w:hAnsi="Garamond" w:cs="Times"/>
        </w:rPr>
        <w:t xml:space="preserve"> </w:t>
      </w:r>
      <w:r w:rsidRPr="00577478">
        <w:rPr>
          <w:rStyle w:val="FootnoteReference"/>
          <w:rFonts w:ascii="Garamond" w:hAnsi="Garamond" w:cs="Times"/>
        </w:rPr>
        <w:footnoteReference w:id="45"/>
      </w:r>
    </w:p>
    <w:p w14:paraId="78DF0D4E" w14:textId="77777777" w:rsidR="00C00F2B" w:rsidRDefault="00C00F2B" w:rsidP="00341BFB">
      <w:pPr>
        <w:widowControl w:val="0"/>
        <w:autoSpaceDE w:val="0"/>
        <w:autoSpaceDN w:val="0"/>
        <w:adjustRightInd w:val="0"/>
        <w:spacing w:before="0" w:after="0" w:line="240" w:lineRule="auto"/>
      </w:pPr>
    </w:p>
    <w:p w14:paraId="632A6DEE"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6DC837BF" wp14:editId="08D7B3D9">
            <wp:extent cx="2254250" cy="842433"/>
            <wp:effectExtent l="50800" t="25400" r="0" b="7239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83ADDDF" w14:textId="77777777" w:rsidR="00341BFB" w:rsidRPr="00341BFB" w:rsidRDefault="00341BFB" w:rsidP="00341BFB">
      <w:pPr>
        <w:widowControl w:val="0"/>
        <w:autoSpaceDE w:val="0"/>
        <w:autoSpaceDN w:val="0"/>
        <w:adjustRightInd w:val="0"/>
        <w:spacing w:before="0" w:after="0" w:line="240" w:lineRule="auto"/>
        <w:rPr>
          <w:rFonts w:ascii="Times" w:hAnsi="Times" w:cs="Times"/>
        </w:rPr>
      </w:pPr>
    </w:p>
    <w:p w14:paraId="2056EC55" w14:textId="3AAEDCA1" w:rsidR="00A7435D" w:rsidRDefault="00A7435D" w:rsidP="00A7435D">
      <w:pPr>
        <w:pStyle w:val="Heading3"/>
        <w:rPr>
          <w:rFonts w:ascii="Garamond" w:hAnsi="Garamond"/>
        </w:rPr>
      </w:pPr>
      <w:bookmarkStart w:id="63" w:name="_Toc269636342"/>
      <w:r>
        <w:rPr>
          <w:rFonts w:ascii="Garamond" w:hAnsi="Garamond"/>
        </w:rPr>
        <w:lastRenderedPageBreak/>
        <w:t>Evaluation committee development</w:t>
      </w:r>
      <w:bookmarkEnd w:id="63"/>
    </w:p>
    <w:p w14:paraId="0226BDB8" w14:textId="5C4151A8" w:rsidR="0056798E" w:rsidRDefault="00BA437B" w:rsidP="0056798E">
      <w:pPr>
        <w:rPr>
          <w:rFonts w:ascii="Garamond" w:hAnsi="Garamond"/>
        </w:rPr>
      </w:pPr>
      <w:r>
        <w:rPr>
          <w:rFonts w:ascii="Garamond" w:hAnsi="Garamond"/>
        </w:rPr>
        <w:t xml:space="preserve">Development of the evaluation committee is an important element, because this group is responsible for determining who the pre-qualified bidders are, and also reviewing full proposals to determine the winning bidder. </w:t>
      </w:r>
      <w:r w:rsidR="0056798E">
        <w:rPr>
          <w:rFonts w:ascii="Garamond" w:hAnsi="Garamond"/>
        </w:rPr>
        <w:t>Members of the committee need to be highly trustworthy, technically competent, and fair.</w:t>
      </w:r>
      <w:r w:rsidR="0056798E" w:rsidRPr="0056798E">
        <w:rPr>
          <w:rFonts w:ascii="Garamond" w:hAnsi="Garamond"/>
        </w:rPr>
        <w:t xml:space="preserve"> </w:t>
      </w:r>
    </w:p>
    <w:p w14:paraId="57091B40" w14:textId="4E7453A9" w:rsidR="0056798E" w:rsidRPr="003820B1" w:rsidRDefault="0056798E" w:rsidP="003820B1">
      <w:pPr>
        <w:spacing w:line="240" w:lineRule="auto"/>
        <w:rPr>
          <w:rFonts w:ascii="Garamond" w:hAnsi="Garamond"/>
          <w:sz w:val="24"/>
          <w:szCs w:val="24"/>
        </w:rPr>
      </w:pPr>
      <w:r>
        <w:rPr>
          <w:rFonts w:ascii="Garamond" w:hAnsi="Garamond"/>
        </w:rPr>
        <w:t>For practical purposes, it is recommended that the committee be not more than 10 people</w:t>
      </w:r>
      <w:r w:rsidR="003820B1">
        <w:rPr>
          <w:rFonts w:ascii="Garamond" w:hAnsi="Garamond"/>
        </w:rPr>
        <w:t>, and that representatives of t</w:t>
      </w:r>
      <w:r w:rsidRPr="0079696D">
        <w:rPr>
          <w:rFonts w:ascii="Garamond" w:hAnsi="Garamond"/>
        </w:rPr>
        <w:t>he following institutions be considered as members:</w:t>
      </w:r>
    </w:p>
    <w:p w14:paraId="6DC97D0A" w14:textId="2068E2A3" w:rsidR="003820B1" w:rsidRDefault="0056798E" w:rsidP="00F47607">
      <w:pPr>
        <w:pStyle w:val="ListParagraph"/>
        <w:numPr>
          <w:ilvl w:val="0"/>
          <w:numId w:val="37"/>
        </w:numPr>
        <w:spacing w:before="0" w:after="0" w:line="240" w:lineRule="auto"/>
        <w:jc w:val="left"/>
        <w:rPr>
          <w:rFonts w:ascii="Garamond" w:hAnsi="Garamond"/>
        </w:rPr>
      </w:pPr>
      <w:r>
        <w:rPr>
          <w:rFonts w:ascii="Garamond" w:hAnsi="Garamond"/>
        </w:rPr>
        <w:t>Government department</w:t>
      </w:r>
      <w:r w:rsidR="003820B1">
        <w:rPr>
          <w:rFonts w:ascii="Garamond" w:hAnsi="Garamond"/>
        </w:rPr>
        <w:t>s</w:t>
      </w:r>
      <w:r>
        <w:rPr>
          <w:rFonts w:ascii="Garamond" w:hAnsi="Garamond"/>
        </w:rPr>
        <w:t xml:space="preserve"> of t</w:t>
      </w:r>
      <w:r w:rsidRPr="00C4014D">
        <w:rPr>
          <w:rFonts w:ascii="Garamond" w:hAnsi="Garamond"/>
        </w:rPr>
        <w:t>ourism</w:t>
      </w:r>
      <w:r w:rsidR="003820B1">
        <w:rPr>
          <w:rFonts w:ascii="Garamond" w:hAnsi="Garamond"/>
        </w:rPr>
        <w:t>, conservation, planning and finance</w:t>
      </w:r>
      <w:r w:rsidR="001B7FA4">
        <w:rPr>
          <w:rFonts w:ascii="Garamond" w:hAnsi="Garamond"/>
        </w:rPr>
        <w:t>;</w:t>
      </w:r>
    </w:p>
    <w:p w14:paraId="7B3EB587" w14:textId="72CB4A33" w:rsidR="003820B1" w:rsidRPr="003820B1" w:rsidRDefault="003820B1" w:rsidP="00F47607">
      <w:pPr>
        <w:pStyle w:val="ListParagraph"/>
        <w:numPr>
          <w:ilvl w:val="0"/>
          <w:numId w:val="37"/>
        </w:numPr>
        <w:spacing w:before="0" w:after="0" w:line="240" w:lineRule="auto"/>
        <w:jc w:val="left"/>
        <w:rPr>
          <w:rFonts w:ascii="Garamond" w:hAnsi="Garamond"/>
        </w:rPr>
      </w:pPr>
      <w:r>
        <w:rPr>
          <w:rFonts w:ascii="Garamond" w:hAnsi="Garamond"/>
        </w:rPr>
        <w:t>TFCA</w:t>
      </w:r>
      <w:r w:rsidRPr="003820B1">
        <w:rPr>
          <w:rFonts w:ascii="Garamond" w:hAnsi="Garamond"/>
        </w:rPr>
        <w:t xml:space="preserve"> authority and specific protected area authorities</w:t>
      </w:r>
      <w:r w:rsidR="001B7FA4">
        <w:rPr>
          <w:rFonts w:ascii="Garamond" w:hAnsi="Garamond"/>
        </w:rPr>
        <w:t>;</w:t>
      </w:r>
    </w:p>
    <w:p w14:paraId="3F944976" w14:textId="6BB8EE49" w:rsidR="0056798E" w:rsidRPr="00C4014D" w:rsidRDefault="0056798E" w:rsidP="00F47607">
      <w:pPr>
        <w:pStyle w:val="ListParagraph"/>
        <w:numPr>
          <w:ilvl w:val="0"/>
          <w:numId w:val="37"/>
        </w:numPr>
        <w:spacing w:before="0" w:after="0" w:line="240" w:lineRule="auto"/>
        <w:jc w:val="left"/>
        <w:rPr>
          <w:rFonts w:ascii="Garamond" w:hAnsi="Garamond"/>
        </w:rPr>
      </w:pPr>
      <w:r w:rsidRPr="00C4014D">
        <w:rPr>
          <w:rFonts w:ascii="Garamond" w:hAnsi="Garamond"/>
        </w:rPr>
        <w:t>Non-governmental organisations (focusing on conservation and/or socio economic development</w:t>
      </w:r>
      <w:r w:rsidR="003820B1">
        <w:rPr>
          <w:rFonts w:ascii="Garamond" w:hAnsi="Garamond"/>
        </w:rPr>
        <w:t xml:space="preserve"> in the specific TFCA</w:t>
      </w:r>
      <w:r w:rsidRPr="00C4014D">
        <w:rPr>
          <w:rFonts w:ascii="Garamond" w:hAnsi="Garamond"/>
        </w:rPr>
        <w:t>)</w:t>
      </w:r>
      <w:r w:rsidR="001B7FA4">
        <w:rPr>
          <w:rFonts w:ascii="Garamond" w:hAnsi="Garamond"/>
        </w:rPr>
        <w:t>; and</w:t>
      </w:r>
    </w:p>
    <w:p w14:paraId="36D2F847" w14:textId="0DEB7AF5" w:rsidR="0056798E" w:rsidRPr="00C4014D" w:rsidRDefault="0056798E" w:rsidP="00F47607">
      <w:pPr>
        <w:pStyle w:val="ListParagraph"/>
        <w:numPr>
          <w:ilvl w:val="0"/>
          <w:numId w:val="37"/>
        </w:numPr>
        <w:spacing w:before="0" w:after="0" w:line="240" w:lineRule="auto"/>
        <w:jc w:val="left"/>
        <w:rPr>
          <w:rFonts w:ascii="Garamond" w:hAnsi="Garamond" w:cs="Symbol"/>
        </w:rPr>
      </w:pPr>
      <w:r w:rsidRPr="00C4014D">
        <w:rPr>
          <w:rFonts w:ascii="Garamond" w:hAnsi="Garamond"/>
        </w:rPr>
        <w:t>Technical experts (e.g. on legal, environmental, social, tourism and financial el</w:t>
      </w:r>
      <w:r w:rsidR="0051785F">
        <w:rPr>
          <w:rFonts w:ascii="Garamond" w:hAnsi="Garamond"/>
        </w:rPr>
        <w:t>ements) to provide input, but not to vote.</w:t>
      </w:r>
    </w:p>
    <w:p w14:paraId="4309A442" w14:textId="1A326876" w:rsidR="0056798E" w:rsidRPr="0079696D" w:rsidRDefault="0056798E" w:rsidP="0056798E">
      <w:pPr>
        <w:rPr>
          <w:rFonts w:ascii="Garamond" w:hAnsi="Garamond" w:cs="Symbol"/>
        </w:rPr>
      </w:pPr>
      <w:r>
        <w:rPr>
          <w:rFonts w:ascii="Garamond" w:hAnsi="Garamond" w:cs="Symbol"/>
        </w:rPr>
        <w:t xml:space="preserve">The </w:t>
      </w:r>
      <w:r w:rsidR="0051785F">
        <w:rPr>
          <w:rFonts w:ascii="Garamond" w:hAnsi="Garamond" w:cs="Symbol"/>
        </w:rPr>
        <w:t xml:space="preserve">roles and responsibilities </w:t>
      </w:r>
      <w:r w:rsidRPr="0056798E">
        <w:rPr>
          <w:rFonts w:ascii="Garamond" w:hAnsi="Garamond"/>
        </w:rPr>
        <w:t>of the evaluation committee</w:t>
      </w:r>
      <w:r w:rsidRPr="0079696D">
        <w:rPr>
          <w:rFonts w:ascii="Garamond" w:hAnsi="Garamond"/>
        </w:rPr>
        <w:t xml:space="preserve"> should include</w:t>
      </w:r>
      <w:r w:rsidR="0051785F">
        <w:rPr>
          <w:rStyle w:val="FootnoteReference"/>
          <w:rFonts w:ascii="Garamond" w:hAnsi="Garamond"/>
        </w:rPr>
        <w:footnoteReference w:id="46"/>
      </w:r>
      <w:r w:rsidRPr="0079696D">
        <w:rPr>
          <w:rFonts w:ascii="Garamond" w:hAnsi="Garamond"/>
        </w:rPr>
        <w:t xml:space="preserve">: </w:t>
      </w:r>
    </w:p>
    <w:p w14:paraId="140F62F5" w14:textId="0A11831B"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Acceptance of bids as complete and compliant;</w:t>
      </w:r>
    </w:p>
    <w:p w14:paraId="6F734D20" w14:textId="77777777" w:rsidR="00DE7E95" w:rsidRDefault="00DE7E95" w:rsidP="00F47607">
      <w:pPr>
        <w:pStyle w:val="ListParagraph"/>
        <w:numPr>
          <w:ilvl w:val="0"/>
          <w:numId w:val="36"/>
        </w:numPr>
        <w:spacing w:before="0" w:after="0" w:line="240" w:lineRule="auto"/>
        <w:jc w:val="left"/>
        <w:rPr>
          <w:rFonts w:ascii="Garamond" w:hAnsi="Garamond" w:cs="Symbol"/>
        </w:rPr>
      </w:pPr>
      <w:r>
        <w:rPr>
          <w:rFonts w:ascii="Garamond" w:hAnsi="Garamond" w:cs="Symbol"/>
        </w:rPr>
        <w:t>Thoroughly review each bid</w:t>
      </w:r>
    </w:p>
    <w:p w14:paraId="0AAFDAB2" w14:textId="2565B5F6"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Evaluation and scoring bids</w:t>
      </w:r>
      <w:r w:rsidR="00DE7E95">
        <w:rPr>
          <w:rFonts w:ascii="Garamond" w:hAnsi="Garamond" w:cs="Symbol"/>
        </w:rPr>
        <w:t xml:space="preserve"> in line with the evaluation criteria</w:t>
      </w:r>
      <w:r>
        <w:rPr>
          <w:rFonts w:ascii="Garamond" w:hAnsi="Garamond" w:cs="Symbol"/>
        </w:rPr>
        <w:t>;</w:t>
      </w:r>
    </w:p>
    <w:p w14:paraId="17659BCF" w14:textId="5BA8EF07"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Selection of a preferred and a reserve bidder;</w:t>
      </w:r>
    </w:p>
    <w:p w14:paraId="7FD03B08" w14:textId="6CCBA5EA" w:rsidR="0051785F" w:rsidRP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Understanding of their role, the bid evaluation system and the concession project;</w:t>
      </w:r>
    </w:p>
    <w:p w14:paraId="737B6C8A" w14:textId="30D133DC" w:rsidR="0056798E" w:rsidRPr="00C4014D" w:rsidRDefault="0056798E" w:rsidP="00F47607">
      <w:pPr>
        <w:pStyle w:val="ListParagraph"/>
        <w:numPr>
          <w:ilvl w:val="0"/>
          <w:numId w:val="36"/>
        </w:numPr>
        <w:spacing w:before="0" w:after="0" w:line="240" w:lineRule="auto"/>
        <w:jc w:val="left"/>
        <w:rPr>
          <w:rFonts w:ascii="Garamond" w:hAnsi="Garamond" w:cs="Symbol"/>
        </w:rPr>
      </w:pPr>
      <w:r w:rsidRPr="00C4014D">
        <w:rPr>
          <w:rFonts w:ascii="Garamond" w:hAnsi="Garamond"/>
        </w:rPr>
        <w:t>Receive comments</w:t>
      </w:r>
      <w:r w:rsidR="0051785F">
        <w:rPr>
          <w:rFonts w:ascii="Garamond" w:hAnsi="Garamond"/>
        </w:rPr>
        <w:t>, queries</w:t>
      </w:r>
      <w:r w:rsidRPr="00C4014D">
        <w:rPr>
          <w:rFonts w:ascii="Garamond" w:hAnsi="Garamond"/>
        </w:rPr>
        <w:t xml:space="preserve"> and complaints from interested and affected parties connected to concession</w:t>
      </w:r>
      <w:r w:rsidRPr="00C4014D">
        <w:rPr>
          <w:rFonts w:ascii="Garamond" w:hAnsi="Garamond" w:cs="Symbol"/>
        </w:rPr>
        <w:t> </w:t>
      </w:r>
      <w:r w:rsidRPr="00C4014D">
        <w:rPr>
          <w:rFonts w:ascii="Garamond" w:hAnsi="Garamond"/>
        </w:rPr>
        <w:t>development, review th</w:t>
      </w:r>
      <w:r w:rsidR="0051785F">
        <w:rPr>
          <w:rFonts w:ascii="Garamond" w:hAnsi="Garamond"/>
        </w:rPr>
        <w:t>ese and ensure timely responses.</w:t>
      </w:r>
    </w:p>
    <w:p w14:paraId="0185679E" w14:textId="001A418D" w:rsidR="002E65C5" w:rsidRDefault="0056798E" w:rsidP="00F47607">
      <w:pPr>
        <w:pStyle w:val="ListParagraph"/>
        <w:numPr>
          <w:ilvl w:val="0"/>
          <w:numId w:val="36"/>
        </w:numPr>
        <w:spacing w:before="0" w:after="0" w:line="240" w:lineRule="auto"/>
        <w:jc w:val="left"/>
        <w:rPr>
          <w:rFonts w:ascii="Garamond" w:hAnsi="Garamond"/>
        </w:rPr>
      </w:pPr>
      <w:r w:rsidRPr="00C4014D">
        <w:rPr>
          <w:rFonts w:ascii="Garamond" w:hAnsi="Garamond"/>
        </w:rPr>
        <w:t xml:space="preserve">Guarantee effective communication channels to all </w:t>
      </w:r>
      <w:r w:rsidR="00190E6C">
        <w:rPr>
          <w:rFonts w:ascii="Garamond" w:hAnsi="Garamond"/>
        </w:rPr>
        <w:t>relevant parties, including r</w:t>
      </w:r>
      <w:r w:rsidRPr="00190E6C">
        <w:rPr>
          <w:rFonts w:ascii="Garamond" w:hAnsi="Garamond"/>
        </w:rPr>
        <w:t>egularly rep</w:t>
      </w:r>
      <w:r w:rsidR="00633B59" w:rsidRPr="00190E6C">
        <w:rPr>
          <w:rFonts w:ascii="Garamond" w:hAnsi="Garamond"/>
        </w:rPr>
        <w:t>ort</w:t>
      </w:r>
      <w:r w:rsidR="00190E6C">
        <w:rPr>
          <w:rFonts w:ascii="Garamond" w:hAnsi="Garamond"/>
        </w:rPr>
        <w:t>s</w:t>
      </w:r>
      <w:r w:rsidR="00633B59" w:rsidRPr="00190E6C">
        <w:rPr>
          <w:rFonts w:ascii="Garamond" w:hAnsi="Garamond"/>
        </w:rPr>
        <w:t xml:space="preserve"> to the contracting authority</w:t>
      </w:r>
      <w:r w:rsidRPr="00190E6C">
        <w:rPr>
          <w:rFonts w:ascii="Garamond" w:hAnsi="Garamond"/>
        </w:rPr>
        <w:t>.</w:t>
      </w:r>
    </w:p>
    <w:p w14:paraId="0A6A326A" w14:textId="07DC1045" w:rsidR="0051785F" w:rsidRPr="00C00F2B"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rPr>
        <w:t>Signing a confidentiality agreement and code of conduct</w:t>
      </w:r>
      <w:r w:rsidR="001B7FA4">
        <w:rPr>
          <w:rFonts w:ascii="Garamond" w:hAnsi="Garamond"/>
        </w:rPr>
        <w:t>.</w:t>
      </w:r>
    </w:p>
    <w:p w14:paraId="7A0A57D2" w14:textId="77777777" w:rsidR="00C00F2B" w:rsidRDefault="00C00F2B" w:rsidP="00C00F2B">
      <w:pPr>
        <w:spacing w:before="0" w:after="0" w:line="240" w:lineRule="auto"/>
        <w:jc w:val="left"/>
        <w:rPr>
          <w:rFonts w:ascii="Garamond" w:hAnsi="Garamond" w:cs="Symbol"/>
        </w:rPr>
      </w:pPr>
    </w:p>
    <w:p w14:paraId="010EB2CE"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2BEE40E2" wp14:editId="13A13398">
            <wp:extent cx="2254250" cy="660400"/>
            <wp:effectExtent l="50800" t="25400" r="0" b="762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4210021" w14:textId="77777777" w:rsidR="00C00F2B" w:rsidRPr="00C00F2B" w:rsidRDefault="00C00F2B" w:rsidP="00C00F2B">
      <w:pPr>
        <w:spacing w:before="0" w:after="0" w:line="240" w:lineRule="auto"/>
        <w:jc w:val="left"/>
        <w:rPr>
          <w:rFonts w:ascii="Garamond" w:hAnsi="Garamond" w:cs="Symbol"/>
        </w:rPr>
      </w:pPr>
    </w:p>
    <w:p w14:paraId="04F16617" w14:textId="4A0253B7" w:rsidR="00DE7E95" w:rsidRDefault="00DE7E95">
      <w:pPr>
        <w:spacing w:before="0" w:after="0" w:line="240" w:lineRule="auto"/>
        <w:jc w:val="left"/>
        <w:rPr>
          <w:rFonts w:ascii="Garamond" w:hAnsi="Garamond"/>
        </w:rPr>
      </w:pPr>
      <w:r>
        <w:rPr>
          <w:rFonts w:ascii="Garamond" w:hAnsi="Garamond"/>
        </w:rPr>
        <w:br w:type="page"/>
      </w:r>
    </w:p>
    <w:p w14:paraId="65B4B710" w14:textId="77777777" w:rsidR="00C00F2B" w:rsidRDefault="00C00F2B">
      <w:pPr>
        <w:spacing w:before="0" w:after="0" w:line="240" w:lineRule="auto"/>
        <w:jc w:val="left"/>
        <w:rPr>
          <w:rFonts w:ascii="Garamond" w:hAnsi="Garamond"/>
        </w:rPr>
      </w:pPr>
    </w:p>
    <w:p w14:paraId="565279E8" w14:textId="77777777" w:rsidR="009A0ACA" w:rsidRPr="009A0ACA" w:rsidRDefault="009A0ACA" w:rsidP="009A0ACA">
      <w:pPr>
        <w:pStyle w:val="ListParagraph"/>
        <w:spacing w:before="0" w:after="0" w:line="240" w:lineRule="auto"/>
        <w:ind w:left="360"/>
        <w:jc w:val="left"/>
        <w:rPr>
          <w:rFonts w:ascii="Garamond" w:hAnsi="Garamond"/>
        </w:rPr>
      </w:pPr>
    </w:p>
    <w:p w14:paraId="6520B6CE" w14:textId="0C0A7C3A" w:rsidR="006D17F5" w:rsidRPr="006311F5" w:rsidRDefault="00A7435D" w:rsidP="006D17F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64" w:name="_Toc269636343"/>
      <w:r>
        <w:rPr>
          <w:rFonts w:ascii="Garamond" w:hAnsi="Garamond"/>
        </w:rPr>
        <w:t>Step 4: Transaction management</w:t>
      </w:r>
      <w:bookmarkEnd w:id="64"/>
    </w:p>
    <w:p w14:paraId="01C33AD4" w14:textId="71DB21BE" w:rsidR="00CE6DB1" w:rsidRDefault="00345DD4" w:rsidP="00D17C95">
      <w:pPr>
        <w:pStyle w:val="ListParagraph"/>
        <w:spacing w:before="0" w:after="0" w:line="240" w:lineRule="auto"/>
        <w:ind w:left="0"/>
        <w:rPr>
          <w:rFonts w:ascii="Garamond" w:hAnsi="Garamond"/>
          <w:color w:val="000000"/>
          <w:sz w:val="24"/>
          <w:szCs w:val="24"/>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A7435D" w:rsidRPr="00A7435D">
        <w:rPr>
          <w:rFonts w:ascii="Garamond" w:hAnsi="Garamond"/>
          <w:color w:val="000000"/>
          <w:sz w:val="24"/>
          <w:szCs w:val="24"/>
          <w:highlight w:val="yellow"/>
        </w:rPr>
        <w:t>3-4 pages</w:t>
      </w:r>
    </w:p>
    <w:p w14:paraId="2B415558" w14:textId="77777777" w:rsidR="00D17C95" w:rsidRDefault="00D17C95" w:rsidP="00D17C95">
      <w:pPr>
        <w:pStyle w:val="ListParagraph"/>
        <w:spacing w:before="0" w:after="0" w:line="240" w:lineRule="auto"/>
        <w:ind w:left="0"/>
        <w:rPr>
          <w:rFonts w:ascii="Garamond" w:hAnsi="Garamond"/>
          <w:color w:val="000000"/>
          <w:sz w:val="24"/>
          <w:szCs w:val="24"/>
        </w:rPr>
      </w:pPr>
    </w:p>
    <w:p w14:paraId="0473CD11" w14:textId="38EA5FCE" w:rsidR="00D17C95" w:rsidRDefault="00D17C95" w:rsidP="00D17C95">
      <w:pPr>
        <w:pStyle w:val="ListParagraph"/>
        <w:spacing w:before="0" w:after="0" w:line="240" w:lineRule="auto"/>
        <w:ind w:left="0"/>
        <w:rPr>
          <w:rFonts w:ascii="Garamond" w:hAnsi="Garamond"/>
          <w:color w:val="000000"/>
          <w:sz w:val="24"/>
          <w:szCs w:val="24"/>
        </w:rPr>
      </w:pPr>
      <w:r>
        <w:rPr>
          <w:rFonts w:ascii="Garamond" w:hAnsi="Garamond"/>
          <w:color w:val="000000"/>
          <w:sz w:val="24"/>
          <w:szCs w:val="24"/>
        </w:rPr>
        <w:t>During Transaction management, the concession offerings are promoted in the market place to investors, and proposals are sought, r</w:t>
      </w:r>
      <w:r w:rsidR="00F55B6B">
        <w:rPr>
          <w:rFonts w:ascii="Garamond" w:hAnsi="Garamond"/>
          <w:color w:val="000000"/>
          <w:sz w:val="24"/>
          <w:szCs w:val="24"/>
        </w:rPr>
        <w:t xml:space="preserve">eviewed and the best offering.  This step concludes with a signed concession agreement between a concessionaire and the authority. </w:t>
      </w:r>
    </w:p>
    <w:p w14:paraId="3A52B52F" w14:textId="77777777" w:rsidR="00F55B6B" w:rsidRPr="008254D8" w:rsidRDefault="00F55B6B" w:rsidP="00D17C95">
      <w:pPr>
        <w:pStyle w:val="ListParagraph"/>
        <w:spacing w:before="0" w:after="0" w:line="240" w:lineRule="auto"/>
        <w:ind w:left="0"/>
        <w:rPr>
          <w:rFonts w:ascii="Garamond" w:hAnsi="Garamond"/>
          <w:color w:val="000000"/>
          <w:sz w:val="24"/>
          <w:szCs w:val="24"/>
        </w:rPr>
      </w:pPr>
    </w:p>
    <w:p w14:paraId="39B48B64" w14:textId="77777777" w:rsidR="00CE6DB1" w:rsidRDefault="00CE6DB1" w:rsidP="00CE6DB1">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64235D7E" wp14:editId="181AE41B">
            <wp:extent cx="2944283" cy="867833"/>
            <wp:effectExtent l="76200" t="50800" r="27940" b="9779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7CA3E32" w14:textId="77777777" w:rsidR="009A113D" w:rsidRPr="008254D8" w:rsidRDefault="009A113D" w:rsidP="008254D8">
      <w:pPr>
        <w:spacing w:before="0" w:after="0" w:line="240" w:lineRule="auto"/>
        <w:jc w:val="left"/>
        <w:rPr>
          <w:rFonts w:ascii="Garamond" w:hAnsi="Garamond"/>
        </w:rPr>
      </w:pPr>
    </w:p>
    <w:p w14:paraId="58FEC718" w14:textId="45229EA8" w:rsidR="00EF2F06" w:rsidRDefault="00EF2F06" w:rsidP="00EF2F06">
      <w:pPr>
        <w:pStyle w:val="Heading3"/>
        <w:rPr>
          <w:rFonts w:ascii="Garamond" w:hAnsi="Garamond"/>
        </w:rPr>
      </w:pPr>
      <w:bookmarkStart w:id="65" w:name="_Toc269636344"/>
      <w:r>
        <w:rPr>
          <w:rFonts w:ascii="Garamond" w:hAnsi="Garamond"/>
        </w:rPr>
        <w:t>procurement process</w:t>
      </w:r>
      <w:bookmarkEnd w:id="65"/>
    </w:p>
    <w:p w14:paraId="73EE0F47" w14:textId="1D35553E" w:rsidR="003935FC" w:rsidRDefault="003935FC" w:rsidP="009A0ACA">
      <w:pPr>
        <w:rPr>
          <w:rFonts w:ascii="Garamond" w:hAnsi="Garamond"/>
        </w:rPr>
      </w:pPr>
      <w:r>
        <w:rPr>
          <w:rFonts w:ascii="Garamond" w:hAnsi="Garamond"/>
        </w:rPr>
        <w:t xml:space="preserve">The procurement process in competitive bidding follows the following </w:t>
      </w:r>
      <w:r w:rsidR="00123930">
        <w:rPr>
          <w:rFonts w:ascii="Garamond" w:hAnsi="Garamond"/>
        </w:rPr>
        <w:t>sequence, using the materials developed in the previous step</w:t>
      </w:r>
      <w:r>
        <w:rPr>
          <w:rStyle w:val="FootnoteReference"/>
          <w:rFonts w:ascii="Garamond" w:hAnsi="Garamond"/>
        </w:rPr>
        <w:footnoteReference w:id="47"/>
      </w:r>
      <w:r>
        <w:rPr>
          <w:rFonts w:ascii="Garamond" w:hAnsi="Garamond"/>
        </w:rPr>
        <w:t>:</w:t>
      </w:r>
    </w:p>
    <w:p w14:paraId="02F3076C" w14:textId="40705F06" w:rsidR="00577281" w:rsidRDefault="00577281" w:rsidP="00F47607">
      <w:pPr>
        <w:pStyle w:val="ListParagraph"/>
        <w:numPr>
          <w:ilvl w:val="0"/>
          <w:numId w:val="38"/>
        </w:numPr>
        <w:rPr>
          <w:rFonts w:ascii="Garamond" w:hAnsi="Garamond"/>
        </w:rPr>
      </w:pPr>
      <w:r>
        <w:rPr>
          <w:rFonts w:ascii="Garamond" w:hAnsi="Garamond"/>
        </w:rPr>
        <w:t xml:space="preserve">Advertise concession opportunity, and invite submissions for pre-qualification. </w:t>
      </w:r>
    </w:p>
    <w:p w14:paraId="56D835E1" w14:textId="6C96811B" w:rsidR="003935FC" w:rsidRPr="003935FC" w:rsidRDefault="003935FC" w:rsidP="00F47607">
      <w:pPr>
        <w:pStyle w:val="ListParagraph"/>
        <w:numPr>
          <w:ilvl w:val="0"/>
          <w:numId w:val="38"/>
        </w:numPr>
        <w:rPr>
          <w:rFonts w:ascii="Garamond" w:hAnsi="Garamond"/>
        </w:rPr>
      </w:pPr>
      <w:r w:rsidRPr="003935FC">
        <w:rPr>
          <w:rFonts w:ascii="Garamond" w:hAnsi="Garamond"/>
        </w:rPr>
        <w:t>Pre-qualify parties</w:t>
      </w:r>
      <w:r w:rsidR="00E535C3">
        <w:rPr>
          <w:rFonts w:ascii="Garamond" w:hAnsi="Garamond"/>
        </w:rPr>
        <w:t>.</w:t>
      </w:r>
    </w:p>
    <w:p w14:paraId="3EA7273D" w14:textId="64E3D813" w:rsidR="003935FC" w:rsidRPr="003935FC" w:rsidRDefault="003935FC" w:rsidP="00F47607">
      <w:pPr>
        <w:pStyle w:val="ListParagraph"/>
        <w:numPr>
          <w:ilvl w:val="0"/>
          <w:numId w:val="38"/>
        </w:numPr>
        <w:rPr>
          <w:rFonts w:ascii="Garamond" w:hAnsi="Garamond"/>
        </w:rPr>
      </w:pPr>
      <w:r w:rsidRPr="003935FC">
        <w:rPr>
          <w:rFonts w:ascii="Garamond" w:hAnsi="Garamond"/>
        </w:rPr>
        <w:t>Issue a request for proposals with a draft concession agreement</w:t>
      </w:r>
      <w:r w:rsidR="00E535C3">
        <w:rPr>
          <w:rFonts w:ascii="Garamond" w:hAnsi="Garamond"/>
        </w:rPr>
        <w:t>.</w:t>
      </w:r>
    </w:p>
    <w:p w14:paraId="40039B53" w14:textId="13E54711" w:rsidR="003935FC" w:rsidRPr="003935FC" w:rsidRDefault="003935FC" w:rsidP="00F47607">
      <w:pPr>
        <w:pStyle w:val="ListParagraph"/>
        <w:numPr>
          <w:ilvl w:val="0"/>
          <w:numId w:val="38"/>
        </w:numPr>
        <w:rPr>
          <w:rFonts w:ascii="Garamond" w:hAnsi="Garamond"/>
        </w:rPr>
      </w:pPr>
      <w:r w:rsidRPr="003935FC">
        <w:rPr>
          <w:rFonts w:ascii="Garamond" w:hAnsi="Garamond"/>
        </w:rPr>
        <w:t>Receive bids</w:t>
      </w:r>
      <w:r w:rsidR="00E535C3">
        <w:rPr>
          <w:rFonts w:ascii="Garamond" w:hAnsi="Garamond"/>
        </w:rPr>
        <w:t>.</w:t>
      </w:r>
    </w:p>
    <w:p w14:paraId="7FF1BD8D" w14:textId="5DE41BCF" w:rsidR="003935FC" w:rsidRPr="003935FC" w:rsidRDefault="003935FC" w:rsidP="00F47607">
      <w:pPr>
        <w:pStyle w:val="ListParagraph"/>
        <w:numPr>
          <w:ilvl w:val="0"/>
          <w:numId w:val="38"/>
        </w:numPr>
        <w:rPr>
          <w:rFonts w:ascii="Garamond" w:hAnsi="Garamond"/>
        </w:rPr>
      </w:pPr>
      <w:r w:rsidRPr="003935FC">
        <w:rPr>
          <w:rFonts w:ascii="Garamond" w:hAnsi="Garamond"/>
        </w:rPr>
        <w:t>Compare bids with the design and feasibility work and each other</w:t>
      </w:r>
      <w:r w:rsidR="00E535C3">
        <w:rPr>
          <w:rFonts w:ascii="Garamond" w:hAnsi="Garamond"/>
        </w:rPr>
        <w:t>.</w:t>
      </w:r>
    </w:p>
    <w:p w14:paraId="6246DCEA" w14:textId="130BBCBA" w:rsidR="003935FC" w:rsidRPr="003935FC" w:rsidRDefault="003935FC" w:rsidP="00F47607">
      <w:pPr>
        <w:pStyle w:val="ListParagraph"/>
        <w:numPr>
          <w:ilvl w:val="0"/>
          <w:numId w:val="38"/>
        </w:numPr>
        <w:rPr>
          <w:rFonts w:ascii="Garamond" w:hAnsi="Garamond"/>
        </w:rPr>
      </w:pPr>
      <w:r w:rsidRPr="003935FC">
        <w:rPr>
          <w:rFonts w:ascii="Garamond" w:hAnsi="Garamond"/>
        </w:rPr>
        <w:t>Select preferred bidder</w:t>
      </w:r>
      <w:r w:rsidR="00E535C3">
        <w:rPr>
          <w:rFonts w:ascii="Garamond" w:hAnsi="Garamond"/>
        </w:rPr>
        <w:t>.</w:t>
      </w:r>
    </w:p>
    <w:p w14:paraId="3BC3D66E" w14:textId="4453EDF5" w:rsidR="003935FC" w:rsidRPr="003935FC" w:rsidRDefault="003935FC" w:rsidP="00F47607">
      <w:pPr>
        <w:pStyle w:val="ListParagraph"/>
        <w:numPr>
          <w:ilvl w:val="0"/>
          <w:numId w:val="38"/>
        </w:numPr>
        <w:rPr>
          <w:rFonts w:ascii="Garamond" w:hAnsi="Garamond"/>
        </w:rPr>
      </w:pPr>
      <w:r w:rsidRPr="003935FC">
        <w:rPr>
          <w:rFonts w:ascii="Garamond" w:hAnsi="Garamond"/>
        </w:rPr>
        <w:t>Negotiate with preferred bidder</w:t>
      </w:r>
      <w:r w:rsidR="00E535C3">
        <w:rPr>
          <w:rFonts w:ascii="Garamond" w:hAnsi="Garamond"/>
        </w:rPr>
        <w:t>.</w:t>
      </w:r>
    </w:p>
    <w:p w14:paraId="3EEE9FFD" w14:textId="62DCA74B" w:rsidR="00123930" w:rsidRPr="0095673C" w:rsidRDefault="003935FC" w:rsidP="00F47607">
      <w:pPr>
        <w:pStyle w:val="ListParagraph"/>
        <w:numPr>
          <w:ilvl w:val="0"/>
          <w:numId w:val="38"/>
        </w:numPr>
        <w:rPr>
          <w:rFonts w:ascii="Garamond" w:hAnsi="Garamond"/>
        </w:rPr>
      </w:pPr>
      <w:r w:rsidRPr="003935FC">
        <w:rPr>
          <w:rFonts w:ascii="Garamond" w:hAnsi="Garamond"/>
        </w:rPr>
        <w:t>Finalise concession agreement and its management plan</w:t>
      </w:r>
      <w:r w:rsidR="00E535C3">
        <w:rPr>
          <w:rFonts w:ascii="Garamond" w:hAnsi="Garamond"/>
        </w:rPr>
        <w:t>.</w:t>
      </w:r>
    </w:p>
    <w:p w14:paraId="36B8820E" w14:textId="514EB534" w:rsidR="00B81D2E" w:rsidRPr="00B81D2E" w:rsidRDefault="00B81D2E" w:rsidP="00123930">
      <w:pPr>
        <w:rPr>
          <w:rFonts w:ascii="Garamond" w:hAnsi="Garamond"/>
        </w:rPr>
      </w:pPr>
      <w:r w:rsidRPr="00B81D2E">
        <w:rPr>
          <w:rFonts w:ascii="Garamond" w:hAnsi="Garamond"/>
        </w:rPr>
        <w:t xml:space="preserve">This sequence is outlined below. </w:t>
      </w:r>
    </w:p>
    <w:p w14:paraId="1953B2DA" w14:textId="2586FB6D" w:rsidR="00123930" w:rsidRPr="00123930" w:rsidRDefault="00CB69CA" w:rsidP="00123930">
      <w:pPr>
        <w:rPr>
          <w:rFonts w:ascii="Garamond" w:hAnsi="Garamond"/>
        </w:rPr>
      </w:pPr>
      <w:r>
        <w:rPr>
          <w:rFonts w:ascii="Garamond" w:hAnsi="Garamond"/>
          <w:b/>
        </w:rPr>
        <w:t xml:space="preserve">1. </w:t>
      </w:r>
      <w:r w:rsidR="00123930" w:rsidRPr="00123930">
        <w:rPr>
          <w:rFonts w:ascii="Garamond" w:hAnsi="Garamond"/>
          <w:b/>
        </w:rPr>
        <w:t>Advertise concession opportunity, and invite submissions for pre-qualification:</w:t>
      </w:r>
      <w:r w:rsidR="00123930">
        <w:rPr>
          <w:rFonts w:ascii="Garamond" w:hAnsi="Garamond"/>
        </w:rPr>
        <w:t xml:space="preserve"> Place adverts in appropriate highly credible national and international newspapers and trade journals. Also send adverts directly to investors identified during previous steps, and distribute information at international and regional trade fairs. </w:t>
      </w:r>
      <w:r w:rsidR="0095673C">
        <w:rPr>
          <w:rFonts w:ascii="Garamond" w:hAnsi="Garamond"/>
        </w:rPr>
        <w:t xml:space="preserve"> Keep a rec</w:t>
      </w:r>
      <w:r w:rsidR="00307B77">
        <w:rPr>
          <w:rFonts w:ascii="Garamond" w:hAnsi="Garamond"/>
        </w:rPr>
        <w:t xml:space="preserve">ord of any companies that send </w:t>
      </w:r>
      <w:r>
        <w:rPr>
          <w:rFonts w:ascii="Garamond" w:hAnsi="Garamond"/>
        </w:rPr>
        <w:t>EoIs</w:t>
      </w:r>
      <w:r w:rsidR="0095673C">
        <w:rPr>
          <w:rFonts w:ascii="Garamond" w:hAnsi="Garamond"/>
        </w:rPr>
        <w:t xml:space="preserve"> in the </w:t>
      </w:r>
      <w:r>
        <w:rPr>
          <w:rFonts w:ascii="Garamond" w:hAnsi="Garamond"/>
        </w:rPr>
        <w:t xml:space="preserve">concession </w:t>
      </w:r>
      <w:r w:rsidR="0095673C">
        <w:rPr>
          <w:rFonts w:ascii="Garamond" w:hAnsi="Garamond"/>
        </w:rPr>
        <w:t xml:space="preserve">opportunities. </w:t>
      </w:r>
    </w:p>
    <w:p w14:paraId="3B010620" w14:textId="692E1AA0" w:rsidR="00123930" w:rsidRPr="00123930" w:rsidRDefault="00CB69CA" w:rsidP="00123930">
      <w:pPr>
        <w:rPr>
          <w:rFonts w:ascii="Garamond" w:hAnsi="Garamond"/>
        </w:rPr>
      </w:pPr>
      <w:r>
        <w:rPr>
          <w:rFonts w:ascii="Garamond" w:hAnsi="Garamond"/>
          <w:b/>
        </w:rPr>
        <w:t xml:space="preserve">2. </w:t>
      </w:r>
      <w:r w:rsidR="00123930" w:rsidRPr="00307B77">
        <w:rPr>
          <w:rFonts w:ascii="Garamond" w:hAnsi="Garamond"/>
          <w:b/>
        </w:rPr>
        <w:t>Pre-qualify parties:</w:t>
      </w:r>
      <w:r w:rsidR="00123930">
        <w:rPr>
          <w:rFonts w:ascii="Garamond" w:hAnsi="Garamond"/>
        </w:rPr>
        <w:t xml:space="preserve"> </w:t>
      </w:r>
      <w:r>
        <w:rPr>
          <w:rFonts w:ascii="Garamond" w:hAnsi="Garamond"/>
        </w:rPr>
        <w:t>Publicise the</w:t>
      </w:r>
      <w:r w:rsidR="00307B77">
        <w:rPr>
          <w:rFonts w:ascii="Garamond" w:hAnsi="Garamond"/>
        </w:rPr>
        <w:t xml:space="preserve"> Request for Prequalification via the same media outlets as the advertisements. Also send the guidance also to the investor database, and companies that sent EoIs.  Bids should be </w:t>
      </w:r>
      <w:r w:rsidR="00307B77" w:rsidRPr="007F4ADF">
        <w:rPr>
          <w:rFonts w:ascii="Garamond" w:hAnsi="Garamond"/>
        </w:rPr>
        <w:t>received, logged, and secured according to the procedures required in the bidding documents.  On an appointed day and time, the bids should then be produced for inspection and evaluation</w:t>
      </w:r>
      <w:r w:rsidR="00307B77">
        <w:rPr>
          <w:rFonts w:ascii="Garamond" w:hAnsi="Garamond"/>
        </w:rPr>
        <w:t xml:space="preserve"> by the evaluation committee,</w:t>
      </w:r>
      <w:r w:rsidR="00307B77" w:rsidRPr="007F4ADF">
        <w:rPr>
          <w:rFonts w:ascii="Garamond" w:hAnsi="Garamond"/>
        </w:rPr>
        <w:t xml:space="preserve"> accor</w:t>
      </w:r>
      <w:r w:rsidR="00C05554">
        <w:rPr>
          <w:rFonts w:ascii="Garamond" w:hAnsi="Garamond"/>
        </w:rPr>
        <w:t xml:space="preserve">ding to the specified procedure, and </w:t>
      </w:r>
      <w:r w:rsidR="00307B77">
        <w:rPr>
          <w:rFonts w:ascii="Garamond" w:hAnsi="Garamond"/>
        </w:rPr>
        <w:t>on a pass/fail basis</w:t>
      </w:r>
      <w:r w:rsidR="00307B77" w:rsidRPr="007F4ADF">
        <w:rPr>
          <w:rFonts w:ascii="Garamond" w:hAnsi="Garamond"/>
        </w:rPr>
        <w:t>.</w:t>
      </w:r>
      <w:r w:rsidR="00307B77" w:rsidRPr="007F4ADF">
        <w:rPr>
          <w:rStyle w:val="FootnoteReference"/>
          <w:rFonts w:ascii="Garamond" w:hAnsi="Garamond" w:cs="Times"/>
          <w:b/>
        </w:rPr>
        <w:t xml:space="preserve"> </w:t>
      </w:r>
      <w:r w:rsidR="00307B77">
        <w:rPr>
          <w:rStyle w:val="FootnoteReference"/>
          <w:rFonts w:ascii="Garamond" w:hAnsi="Garamond" w:cs="Times"/>
          <w:b/>
        </w:rPr>
        <w:footnoteReference w:id="48"/>
      </w:r>
      <w:r w:rsidR="00C05554">
        <w:rPr>
          <w:rFonts w:ascii="Garamond" w:hAnsi="Garamond"/>
        </w:rPr>
        <w:t xml:space="preserve"> </w:t>
      </w:r>
      <w:r w:rsidR="00307B77">
        <w:rPr>
          <w:rFonts w:ascii="Garamond" w:hAnsi="Garamond"/>
        </w:rPr>
        <w:t xml:space="preserve">Inform companies of the outcome of the pre-qualification process. </w:t>
      </w:r>
    </w:p>
    <w:p w14:paraId="3EC6FC38" w14:textId="5A2F25DA" w:rsidR="00C05554" w:rsidRDefault="00CB69CA" w:rsidP="00123930">
      <w:pPr>
        <w:rPr>
          <w:rFonts w:ascii="Garamond" w:hAnsi="Garamond"/>
        </w:rPr>
      </w:pPr>
      <w:r>
        <w:rPr>
          <w:rFonts w:ascii="Garamond" w:hAnsi="Garamond"/>
          <w:b/>
        </w:rPr>
        <w:t xml:space="preserve">3. </w:t>
      </w:r>
      <w:r w:rsidR="0095673C" w:rsidRPr="00307B77">
        <w:rPr>
          <w:rFonts w:ascii="Garamond" w:hAnsi="Garamond"/>
          <w:b/>
        </w:rPr>
        <w:t>Issue a R</w:t>
      </w:r>
      <w:r w:rsidR="00123930" w:rsidRPr="00307B77">
        <w:rPr>
          <w:rFonts w:ascii="Garamond" w:hAnsi="Garamond"/>
          <w:b/>
        </w:rPr>
        <w:t>e</w:t>
      </w:r>
      <w:r w:rsidR="0095673C" w:rsidRPr="00307B77">
        <w:rPr>
          <w:rFonts w:ascii="Garamond" w:hAnsi="Garamond"/>
          <w:b/>
        </w:rPr>
        <w:t>quest for P</w:t>
      </w:r>
      <w:r w:rsidR="00123930" w:rsidRPr="00307B77">
        <w:rPr>
          <w:rFonts w:ascii="Garamond" w:hAnsi="Garamond"/>
          <w:b/>
        </w:rPr>
        <w:t xml:space="preserve">roposals </w:t>
      </w:r>
      <w:r w:rsidR="0095673C" w:rsidRPr="00307B77">
        <w:rPr>
          <w:rFonts w:ascii="Garamond" w:hAnsi="Garamond"/>
          <w:b/>
        </w:rPr>
        <w:t xml:space="preserve">(RfP) </w:t>
      </w:r>
      <w:r w:rsidR="00123930" w:rsidRPr="00307B77">
        <w:rPr>
          <w:rFonts w:ascii="Garamond" w:hAnsi="Garamond"/>
          <w:b/>
        </w:rPr>
        <w:t>with a draft concession agreement</w:t>
      </w:r>
      <w:r w:rsidR="0095673C" w:rsidRPr="00307B77">
        <w:rPr>
          <w:rFonts w:ascii="Garamond" w:hAnsi="Garamond"/>
          <w:b/>
        </w:rPr>
        <w:t xml:space="preserve">: </w:t>
      </w:r>
      <w:r w:rsidR="00615489">
        <w:rPr>
          <w:rFonts w:ascii="Garamond" w:hAnsi="Garamond"/>
          <w:b/>
        </w:rPr>
        <w:t xml:space="preserve"> </w:t>
      </w:r>
      <w:r w:rsidR="00615489" w:rsidRPr="00577478">
        <w:rPr>
          <w:rFonts w:ascii="Garamond" w:hAnsi="Garamond"/>
        </w:rPr>
        <w:t xml:space="preserve">The </w:t>
      </w:r>
      <w:r w:rsidR="00615489">
        <w:rPr>
          <w:rFonts w:ascii="Garamond" w:hAnsi="Garamond"/>
        </w:rPr>
        <w:t>RfP</w:t>
      </w:r>
      <w:r w:rsidR="00615489" w:rsidRPr="00577478">
        <w:rPr>
          <w:rFonts w:ascii="Garamond" w:hAnsi="Garamond"/>
        </w:rPr>
        <w:t xml:space="preserve"> is made available to the bidders who passed the pre-qualification stage. Sometimes, a payment is requested from the bidders before they receive the RfP, which is used to help prepare bidding documents for </w:t>
      </w:r>
      <w:r w:rsidR="00615489">
        <w:rPr>
          <w:rFonts w:ascii="Garamond" w:hAnsi="Garamond"/>
        </w:rPr>
        <w:t>them</w:t>
      </w:r>
      <w:r w:rsidR="00615489" w:rsidRPr="00577478">
        <w:rPr>
          <w:rFonts w:ascii="Garamond" w:hAnsi="Garamond"/>
        </w:rPr>
        <w:t xml:space="preserve">. </w:t>
      </w:r>
      <w:r w:rsidR="00615489">
        <w:rPr>
          <w:rFonts w:ascii="Garamond" w:hAnsi="Garamond"/>
        </w:rPr>
        <w:t xml:space="preserve"> </w:t>
      </w:r>
      <w:r w:rsidR="00C05554">
        <w:rPr>
          <w:rFonts w:ascii="Garamond" w:hAnsi="Garamond"/>
        </w:rPr>
        <w:t>Investors will wish to undertake their own due diligence, and the authority will need to accommodate:</w:t>
      </w:r>
    </w:p>
    <w:p w14:paraId="00CEEB5A" w14:textId="72B5763F" w:rsidR="00C05554" w:rsidRPr="00B61F00" w:rsidRDefault="00C05554" w:rsidP="00F47607">
      <w:pPr>
        <w:pStyle w:val="ListParagraph"/>
        <w:numPr>
          <w:ilvl w:val="0"/>
          <w:numId w:val="39"/>
        </w:numPr>
        <w:rPr>
          <w:rFonts w:ascii="Garamond" w:hAnsi="Garamond"/>
        </w:rPr>
      </w:pPr>
      <w:r w:rsidRPr="00B61F00">
        <w:rPr>
          <w:rFonts w:ascii="Garamond" w:hAnsi="Garamond"/>
          <w:b/>
        </w:rPr>
        <w:lastRenderedPageBreak/>
        <w:t>Access to the data room:</w:t>
      </w:r>
      <w:r w:rsidRPr="00B61F00">
        <w:rPr>
          <w:rFonts w:ascii="Garamond" w:hAnsi="Garamond"/>
        </w:rPr>
        <w:t xml:space="preserve"> To review </w:t>
      </w:r>
      <w:r w:rsidRPr="00B61F00">
        <w:rPr>
          <w:rFonts w:ascii="Garamond" w:hAnsi="Garamond" w:cs="Times"/>
        </w:rPr>
        <w:t xml:space="preserve">detailed technical, legal, and financial information on the concession.  </w:t>
      </w:r>
    </w:p>
    <w:p w14:paraId="4DC61013" w14:textId="30F1FC9B" w:rsidR="00C05554" w:rsidRPr="00B61F00" w:rsidRDefault="00C05554" w:rsidP="00F47607">
      <w:pPr>
        <w:pStyle w:val="ListParagraph"/>
        <w:numPr>
          <w:ilvl w:val="0"/>
          <w:numId w:val="39"/>
        </w:numPr>
        <w:rPr>
          <w:rFonts w:ascii="Garamond" w:hAnsi="Garamond"/>
        </w:rPr>
      </w:pPr>
      <w:r w:rsidRPr="00B61F00">
        <w:rPr>
          <w:rFonts w:ascii="Garamond" w:hAnsi="Garamond"/>
          <w:b/>
        </w:rPr>
        <w:t>Due diligence site visits:</w:t>
      </w:r>
      <w:r w:rsidRPr="00B61F00">
        <w:rPr>
          <w:rFonts w:ascii="Garamond" w:hAnsi="Garamond"/>
        </w:rPr>
        <w:t xml:space="preserve"> </w:t>
      </w:r>
      <w:r w:rsidR="00CB69CA">
        <w:rPr>
          <w:rFonts w:ascii="Garamond" w:hAnsi="Garamond"/>
        </w:rPr>
        <w:t>O</w:t>
      </w:r>
      <w:r w:rsidRPr="00B61F00">
        <w:rPr>
          <w:rFonts w:ascii="Garamond" w:hAnsi="Garamond"/>
        </w:rPr>
        <w:t xml:space="preserve">pportunity </w:t>
      </w:r>
      <w:r w:rsidR="00CB69CA">
        <w:rPr>
          <w:rFonts w:ascii="Garamond" w:hAnsi="Garamond"/>
        </w:rPr>
        <w:t xml:space="preserve">should be provided </w:t>
      </w:r>
      <w:r w:rsidRPr="00B61F00">
        <w:rPr>
          <w:rFonts w:ascii="Garamond" w:hAnsi="Garamond"/>
        </w:rPr>
        <w:t xml:space="preserve">for each pre-qualified company to visit the concession sites, and discuss the opportunity with fully briefed protected area staff, local authorities, and relevant stakeholders.  It is useful to use an independent practitioner to facilitate site visits, meetings, and gather information on any investor concerns. </w:t>
      </w:r>
    </w:p>
    <w:p w14:paraId="4FE6EF04" w14:textId="75DBAABE" w:rsidR="00C05554" w:rsidRPr="00B61F00" w:rsidRDefault="00C05554" w:rsidP="00F47607">
      <w:pPr>
        <w:pStyle w:val="ListParagraph"/>
        <w:numPr>
          <w:ilvl w:val="0"/>
          <w:numId w:val="39"/>
        </w:numPr>
        <w:rPr>
          <w:rFonts w:ascii="Garamond" w:hAnsi="Garamond"/>
        </w:rPr>
      </w:pPr>
      <w:r w:rsidRPr="00B61F00">
        <w:rPr>
          <w:rFonts w:ascii="Garamond" w:hAnsi="Garamond"/>
          <w:b/>
        </w:rPr>
        <w:t>Bidder question and answer:</w:t>
      </w:r>
      <w:r w:rsidRPr="00B61F00">
        <w:rPr>
          <w:rFonts w:ascii="Garamond" w:hAnsi="Garamond"/>
        </w:rPr>
        <w:t xml:space="preserve"> The types of questions from investors may related to background technical information or on the project design, and also on the transaction structure</w:t>
      </w:r>
      <w:r w:rsidR="00E7102B">
        <w:rPr>
          <w:rFonts w:ascii="Garamond" w:hAnsi="Garamond"/>
        </w:rPr>
        <w:t>, the legal framework,</w:t>
      </w:r>
      <w:r w:rsidRPr="00B61F00">
        <w:rPr>
          <w:rFonts w:ascii="Garamond" w:hAnsi="Garamond"/>
        </w:rPr>
        <w:t xml:space="preserve"> and allocation of risks. </w:t>
      </w:r>
      <w:r w:rsidR="00E7102B">
        <w:rPr>
          <w:rFonts w:ascii="Garamond" w:hAnsi="Garamond"/>
        </w:rPr>
        <w:t xml:space="preserve">This process may take place by phone, email, or a bidders conference. </w:t>
      </w:r>
      <w:r w:rsidRPr="00B61F00">
        <w:rPr>
          <w:rFonts w:ascii="Garamond" w:hAnsi="Garamond"/>
        </w:rPr>
        <w:t xml:space="preserve"> All bidders must be treated equally, and so all responses should be shared with all of the pre-qualified bidders.</w:t>
      </w:r>
      <w:r w:rsidR="00B61F00">
        <w:rPr>
          <w:rFonts w:ascii="Garamond" w:hAnsi="Garamond"/>
        </w:rPr>
        <w:t xml:space="preserve"> </w:t>
      </w:r>
    </w:p>
    <w:p w14:paraId="1C0547A4" w14:textId="28C04E48" w:rsidR="00123930" w:rsidRPr="00B61F00" w:rsidRDefault="00CB69CA" w:rsidP="00123930">
      <w:pPr>
        <w:rPr>
          <w:rFonts w:ascii="Garamond" w:hAnsi="Garamond"/>
        </w:rPr>
      </w:pPr>
      <w:r>
        <w:rPr>
          <w:rFonts w:ascii="Garamond" w:hAnsi="Garamond"/>
          <w:b/>
        </w:rPr>
        <w:t xml:space="preserve">4. </w:t>
      </w:r>
      <w:r w:rsidR="00123930" w:rsidRPr="00B61F00">
        <w:rPr>
          <w:rFonts w:ascii="Garamond" w:hAnsi="Garamond"/>
          <w:b/>
        </w:rPr>
        <w:t>Receive bids</w:t>
      </w:r>
      <w:r w:rsidR="00B61F00" w:rsidRPr="00B61F00">
        <w:rPr>
          <w:rFonts w:ascii="Garamond" w:hAnsi="Garamond"/>
          <w:b/>
        </w:rPr>
        <w:t>:</w:t>
      </w:r>
      <w:r w:rsidR="00B61F00">
        <w:rPr>
          <w:rFonts w:ascii="Garamond" w:hAnsi="Garamond"/>
        </w:rPr>
        <w:t xml:space="preserve"> </w:t>
      </w:r>
      <w:r w:rsidR="00B61F00" w:rsidRPr="007F4ADF">
        <w:rPr>
          <w:rFonts w:ascii="Garamond" w:hAnsi="Garamond"/>
        </w:rPr>
        <w:t xml:space="preserve">Bids should be received, logged, and secured according to the procedures required in the bidding documents.  </w:t>
      </w:r>
    </w:p>
    <w:p w14:paraId="119A2012" w14:textId="7487F80B" w:rsidR="00123930" w:rsidRPr="00CB69CA" w:rsidRDefault="00CB69CA" w:rsidP="00123930">
      <w:pPr>
        <w:rPr>
          <w:rFonts w:ascii="Garamond" w:hAnsi="Garamond"/>
        </w:rPr>
      </w:pPr>
      <w:r>
        <w:rPr>
          <w:rFonts w:ascii="Garamond" w:hAnsi="Garamond"/>
          <w:b/>
        </w:rPr>
        <w:t xml:space="preserve">5. </w:t>
      </w:r>
      <w:r w:rsidR="00123930" w:rsidRPr="00E7102B">
        <w:rPr>
          <w:rFonts w:ascii="Garamond" w:hAnsi="Garamond"/>
          <w:b/>
        </w:rPr>
        <w:t>Compare bids with the design and feasibility work and each other</w:t>
      </w:r>
      <w:r w:rsidR="00E7102B" w:rsidRPr="00E7102B">
        <w:rPr>
          <w:rFonts w:ascii="Garamond" w:hAnsi="Garamond"/>
          <w:b/>
        </w:rPr>
        <w:t>:</w:t>
      </w:r>
      <w:r w:rsidR="00E7102B">
        <w:rPr>
          <w:rFonts w:ascii="Garamond" w:hAnsi="Garamond"/>
        </w:rPr>
        <w:t xml:space="preserve"> </w:t>
      </w:r>
      <w:r w:rsidR="00E7102B" w:rsidRPr="007F4ADF">
        <w:rPr>
          <w:rFonts w:ascii="Garamond" w:hAnsi="Garamond"/>
        </w:rPr>
        <w:t>On an appointed day and time, the bids should then be produced for inspection and evaluation according to the specified procedure</w:t>
      </w:r>
      <w:r w:rsidR="00E7102B">
        <w:rPr>
          <w:rFonts w:ascii="Garamond" w:hAnsi="Garamond"/>
        </w:rPr>
        <w:t xml:space="preserve"> by the evaluation committee</w:t>
      </w:r>
      <w:r w:rsidR="00E7102B" w:rsidRPr="007F4ADF">
        <w:rPr>
          <w:rFonts w:ascii="Garamond" w:hAnsi="Garamond"/>
        </w:rPr>
        <w:t xml:space="preserve">. The investors should not be present during the technical evaluation but may attend the opening of the financial bid. </w:t>
      </w:r>
      <w:r w:rsidR="00E7102B">
        <w:rPr>
          <w:rFonts w:ascii="Garamond" w:hAnsi="Garamond"/>
        </w:rPr>
        <w:t xml:space="preserve"> T</w:t>
      </w:r>
      <w:r w:rsidR="00E7102B" w:rsidRPr="007F4ADF">
        <w:rPr>
          <w:rFonts w:ascii="Garamond" w:hAnsi="Garamond"/>
        </w:rPr>
        <w:t>here should be an official transcript or minutes of the proceedings of the evaluations</w:t>
      </w:r>
      <w:r w:rsidR="00E7102B" w:rsidRPr="00CB69CA">
        <w:rPr>
          <w:rFonts w:ascii="Garamond" w:hAnsi="Garamond"/>
        </w:rPr>
        <w:t>.</w:t>
      </w:r>
      <w:r w:rsidR="00E7102B" w:rsidRPr="00CB69CA">
        <w:rPr>
          <w:rStyle w:val="FootnoteReference"/>
          <w:rFonts w:ascii="Garamond" w:hAnsi="Garamond" w:cs="Times"/>
        </w:rPr>
        <w:footnoteReference w:id="49"/>
      </w:r>
      <w:r w:rsidR="00E7102B" w:rsidRPr="00CB69CA">
        <w:rPr>
          <w:rFonts w:ascii="Garamond" w:hAnsi="Garamond"/>
        </w:rPr>
        <w:t xml:space="preserve">  </w:t>
      </w:r>
    </w:p>
    <w:p w14:paraId="60CCFC92" w14:textId="1F43C0AC" w:rsidR="00123930" w:rsidRPr="00CB69CA" w:rsidRDefault="00CB69CA" w:rsidP="00123930">
      <w:pPr>
        <w:rPr>
          <w:rFonts w:ascii="Garamond" w:hAnsi="Garamond"/>
        </w:rPr>
      </w:pPr>
      <w:r>
        <w:rPr>
          <w:rFonts w:ascii="Garamond" w:hAnsi="Garamond"/>
          <w:b/>
        </w:rPr>
        <w:t xml:space="preserve">6. </w:t>
      </w:r>
      <w:r w:rsidR="00123930" w:rsidRPr="00E7102B">
        <w:rPr>
          <w:rFonts w:ascii="Garamond" w:hAnsi="Garamond"/>
          <w:b/>
        </w:rPr>
        <w:t>Select preferred bidder</w:t>
      </w:r>
      <w:r w:rsidR="00E7102B" w:rsidRPr="00E7102B">
        <w:rPr>
          <w:rFonts w:ascii="Garamond" w:hAnsi="Garamond"/>
          <w:b/>
        </w:rPr>
        <w:t>:</w:t>
      </w:r>
      <w:r w:rsidR="00E7102B">
        <w:rPr>
          <w:rFonts w:ascii="Garamond" w:hAnsi="Garamond"/>
        </w:rPr>
        <w:t xml:space="preserve"> </w:t>
      </w:r>
      <w:r w:rsidR="00E7102B" w:rsidRPr="007F4ADF">
        <w:rPr>
          <w:rFonts w:ascii="Garamond" w:hAnsi="Garamond"/>
        </w:rPr>
        <w:t>The winner is selected on the basis of the weighted technical/financial score or the best financial offer if the technical evaluation was pass/fail as per the RfP rules.</w:t>
      </w:r>
      <w:r w:rsidR="00E7102B" w:rsidRPr="007F4ADF">
        <w:rPr>
          <w:rStyle w:val="FootnoteReference"/>
          <w:rFonts w:ascii="Garamond" w:hAnsi="Garamond" w:cs="Times"/>
          <w:b/>
        </w:rPr>
        <w:t xml:space="preserve"> </w:t>
      </w:r>
      <w:r w:rsidR="00E7102B">
        <w:rPr>
          <w:rStyle w:val="FootnoteReference"/>
          <w:rFonts w:ascii="Garamond" w:hAnsi="Garamond" w:cs="Times"/>
          <w:b/>
        </w:rPr>
        <w:footnoteReference w:id="50"/>
      </w:r>
      <w:r w:rsidR="00E7102B">
        <w:rPr>
          <w:rFonts w:ascii="Garamond" w:hAnsi="Garamond"/>
        </w:rPr>
        <w:t xml:space="preserve"> </w:t>
      </w:r>
      <w:r w:rsidR="00E7102B" w:rsidRPr="007F4ADF">
        <w:rPr>
          <w:rFonts w:ascii="Garamond" w:hAnsi="Garamond"/>
        </w:rPr>
        <w:t>At the end of the bid evaluation process, the client sends  a communication to all investors who bid. The winner is invited to finalize the contract and other project agreements</w:t>
      </w:r>
      <w:r w:rsidR="00E7102B" w:rsidRPr="00CB69CA">
        <w:rPr>
          <w:rFonts w:ascii="Garamond" w:hAnsi="Garamond"/>
        </w:rPr>
        <w:t>.</w:t>
      </w:r>
      <w:r w:rsidR="00E7102B" w:rsidRPr="00CB69CA">
        <w:rPr>
          <w:rStyle w:val="FootnoteReference"/>
          <w:rFonts w:ascii="Garamond" w:hAnsi="Garamond" w:cs="Times"/>
        </w:rPr>
        <w:t xml:space="preserve"> </w:t>
      </w:r>
      <w:r w:rsidR="00E7102B" w:rsidRPr="00CB69CA">
        <w:rPr>
          <w:rStyle w:val="FootnoteReference"/>
          <w:rFonts w:ascii="Garamond" w:hAnsi="Garamond" w:cs="Times"/>
        </w:rPr>
        <w:footnoteReference w:id="51"/>
      </w:r>
    </w:p>
    <w:p w14:paraId="3302696C" w14:textId="6024D4C2" w:rsidR="00123930" w:rsidRPr="00B719FA" w:rsidRDefault="00CB69CA" w:rsidP="00123930">
      <w:pPr>
        <w:rPr>
          <w:rFonts w:ascii="Garamond" w:hAnsi="Garamond"/>
        </w:rPr>
      </w:pPr>
      <w:r>
        <w:rPr>
          <w:rFonts w:ascii="Garamond" w:hAnsi="Garamond"/>
          <w:b/>
        </w:rPr>
        <w:t xml:space="preserve">7. </w:t>
      </w:r>
      <w:r w:rsidR="00123930" w:rsidRPr="00E7102B">
        <w:rPr>
          <w:rFonts w:ascii="Garamond" w:hAnsi="Garamond"/>
          <w:b/>
        </w:rPr>
        <w:t>Negotiate with preferred bidder</w:t>
      </w:r>
      <w:r w:rsidR="00E7102B" w:rsidRPr="00E7102B">
        <w:rPr>
          <w:rFonts w:ascii="Garamond" w:hAnsi="Garamond"/>
          <w:b/>
        </w:rPr>
        <w:t>:</w:t>
      </w:r>
      <w:r w:rsidR="00E7102B">
        <w:rPr>
          <w:rFonts w:ascii="Garamond" w:hAnsi="Garamond"/>
        </w:rPr>
        <w:t xml:space="preserve"> </w:t>
      </w:r>
      <w:r w:rsidR="00E7102B" w:rsidRPr="000165B4">
        <w:rPr>
          <w:rFonts w:ascii="Garamond" w:hAnsi="Garamond" w:cs="Times"/>
        </w:rPr>
        <w:t>In some transactions, a contract is signed immediately after the selection and formal a</w:t>
      </w:r>
      <w:r w:rsidR="00E7102B">
        <w:rPr>
          <w:rFonts w:ascii="Garamond" w:hAnsi="Garamond" w:cs="Times"/>
        </w:rPr>
        <w:t>nnouncement of the winning bid</w:t>
      </w:r>
      <w:r w:rsidR="00E7102B" w:rsidRPr="000165B4">
        <w:rPr>
          <w:rFonts w:ascii="Garamond" w:hAnsi="Garamond" w:cs="Times"/>
        </w:rPr>
        <w:t>der</w:t>
      </w:r>
      <w:r w:rsidR="00E7102B">
        <w:rPr>
          <w:rFonts w:ascii="Garamond" w:hAnsi="Garamond" w:cs="Times"/>
        </w:rPr>
        <w:t>, in line with the draft contract that formed part of the bid documents</w:t>
      </w:r>
      <w:r w:rsidR="00B719FA">
        <w:rPr>
          <w:rFonts w:ascii="Garamond" w:hAnsi="Garamond" w:cs="Times"/>
        </w:rPr>
        <w:t xml:space="preserve"> (i.e. the winning proposal forms the basis of the contract)</w:t>
      </w:r>
      <w:r w:rsidR="00E7102B" w:rsidRPr="000165B4">
        <w:rPr>
          <w:rFonts w:ascii="Garamond" w:hAnsi="Garamond" w:cs="Times"/>
        </w:rPr>
        <w:t>. In others, a contract is signed only after the fulfillment of conditions precedent in the project documents, which may include obtaining financing for the project</w:t>
      </w:r>
      <w:r w:rsidR="00E7102B">
        <w:rPr>
          <w:rFonts w:ascii="Garamond" w:hAnsi="Garamond" w:cs="Times"/>
        </w:rPr>
        <w:t xml:space="preserve"> or</w:t>
      </w:r>
      <w:r w:rsidR="00E7102B" w:rsidRPr="000165B4">
        <w:rPr>
          <w:rFonts w:ascii="Garamond" w:hAnsi="Garamond" w:cs="Times"/>
        </w:rPr>
        <w:t xml:space="preserve"> </w:t>
      </w:r>
      <w:r w:rsidR="00E7102B">
        <w:rPr>
          <w:rFonts w:ascii="Garamond" w:hAnsi="Garamond" w:cs="Times"/>
        </w:rPr>
        <w:t>local registration of the company</w:t>
      </w:r>
      <w:r w:rsidR="00B719FA" w:rsidRPr="00CB69CA">
        <w:rPr>
          <w:rStyle w:val="FootnoteReference"/>
          <w:rFonts w:ascii="Garamond" w:hAnsi="Garamond" w:cs="Times"/>
        </w:rPr>
        <w:footnoteReference w:id="52"/>
      </w:r>
      <w:r w:rsidR="00E7102B" w:rsidRPr="00CB69CA">
        <w:rPr>
          <w:rFonts w:ascii="Garamond" w:hAnsi="Garamond" w:cs="Times"/>
        </w:rPr>
        <w:t>.</w:t>
      </w:r>
      <w:r w:rsidR="00E7102B" w:rsidRPr="000165B4">
        <w:rPr>
          <w:rFonts w:ascii="Garamond" w:hAnsi="Garamond" w:cs="Times"/>
        </w:rPr>
        <w:t xml:space="preserve"> </w:t>
      </w:r>
      <w:r w:rsidR="00B719FA">
        <w:rPr>
          <w:rFonts w:ascii="Garamond" w:hAnsi="Garamond" w:cs="Times"/>
        </w:rPr>
        <w:t xml:space="preserve"> There may be some elements of negotiation on the winning proposal that also need to be addressed before the contract is finalized.  </w:t>
      </w:r>
      <w:r w:rsidR="00B719FA">
        <w:rPr>
          <w:rFonts w:ascii="Garamond" w:hAnsi="Garamond"/>
        </w:rPr>
        <w:t xml:space="preserve">During the negotiation of contracts, there may be issues disagreement and conflict, </w:t>
      </w:r>
      <w:r w:rsidR="001416CA">
        <w:rPr>
          <w:rFonts w:ascii="Garamond" w:hAnsi="Garamond"/>
        </w:rPr>
        <w:t>which</w:t>
      </w:r>
      <w:r w:rsidR="00B719FA">
        <w:rPr>
          <w:rFonts w:ascii="Garamond" w:hAnsi="Garamond"/>
        </w:rPr>
        <w:t xml:space="preserve"> can mean a tense and difficult stage of the process.</w:t>
      </w:r>
      <w:r w:rsidR="001B7FA4" w:rsidRPr="00CB69CA">
        <w:rPr>
          <w:rStyle w:val="FootnoteReference"/>
          <w:rFonts w:ascii="Garamond" w:hAnsi="Garamond" w:cs="Times"/>
        </w:rPr>
        <w:footnoteReference w:id="53"/>
      </w:r>
      <w:r w:rsidR="00B719FA" w:rsidRPr="00CB69CA">
        <w:rPr>
          <w:rFonts w:ascii="Garamond" w:hAnsi="Garamond"/>
        </w:rPr>
        <w:t xml:space="preserve"> </w:t>
      </w:r>
      <w:r w:rsidR="00B719FA">
        <w:rPr>
          <w:rFonts w:ascii="Garamond" w:hAnsi="Garamond"/>
        </w:rPr>
        <w:t>An experienced negotiator or transaction advisor ca</w:t>
      </w:r>
      <w:r w:rsidR="001B7FA4">
        <w:rPr>
          <w:rFonts w:ascii="Garamond" w:hAnsi="Garamond"/>
        </w:rPr>
        <w:t xml:space="preserve">n be useful to close the deal, and </w:t>
      </w:r>
      <w:r w:rsidR="00353A2C">
        <w:rPr>
          <w:rFonts w:ascii="Garamond" w:hAnsi="Garamond"/>
        </w:rPr>
        <w:t xml:space="preserve">all involved should promote </w:t>
      </w:r>
      <w:r w:rsidR="001B7FA4">
        <w:rPr>
          <w:rFonts w:ascii="Garamond" w:hAnsi="Garamond"/>
        </w:rPr>
        <w:t>a climate of trust and cooperation.</w:t>
      </w:r>
      <w:r w:rsidR="001B7FA4">
        <w:rPr>
          <w:rStyle w:val="FootnoteReference"/>
          <w:rFonts w:ascii="Garamond" w:hAnsi="Garamond"/>
        </w:rPr>
        <w:footnoteReference w:id="54"/>
      </w:r>
      <w:r w:rsidR="001B7FA4">
        <w:rPr>
          <w:rFonts w:ascii="Garamond" w:hAnsi="Garamond"/>
        </w:rPr>
        <w:t xml:space="preserve"> </w:t>
      </w:r>
    </w:p>
    <w:p w14:paraId="3387D415" w14:textId="78F793FF" w:rsidR="00B81D2E" w:rsidRDefault="00CB69CA" w:rsidP="00EF2F06">
      <w:pPr>
        <w:rPr>
          <w:rFonts w:ascii="Garamond" w:hAnsi="Garamond"/>
        </w:rPr>
      </w:pPr>
      <w:r>
        <w:rPr>
          <w:rFonts w:ascii="Garamond" w:hAnsi="Garamond"/>
          <w:b/>
        </w:rPr>
        <w:t xml:space="preserve">8. </w:t>
      </w:r>
      <w:r w:rsidR="00B719FA" w:rsidRPr="00B719FA">
        <w:rPr>
          <w:rFonts w:ascii="Garamond" w:hAnsi="Garamond"/>
          <w:b/>
        </w:rPr>
        <w:t>Finalise concession agreement:</w:t>
      </w:r>
      <w:r w:rsidR="00B719FA" w:rsidRPr="00B719FA">
        <w:rPr>
          <w:rFonts w:ascii="Garamond" w:hAnsi="Garamond" w:cs="Times"/>
        </w:rPr>
        <w:t xml:space="preserve"> </w:t>
      </w:r>
      <w:r w:rsidR="00B719FA" w:rsidRPr="000165B4">
        <w:rPr>
          <w:rFonts w:ascii="Garamond" w:hAnsi="Garamond" w:cs="Times"/>
        </w:rPr>
        <w:t>A transaction is considered finalized after the contract is signed between the contracting authority and the winning bidder.</w:t>
      </w:r>
      <w:r w:rsidR="00B719FA" w:rsidRPr="000165B4">
        <w:rPr>
          <w:rStyle w:val="FootnoteReference"/>
          <w:rFonts w:ascii="Garamond" w:hAnsi="Garamond" w:cs="Times"/>
          <w:b/>
        </w:rPr>
        <w:t xml:space="preserve"> </w:t>
      </w:r>
      <w:r w:rsidR="00B719FA" w:rsidRPr="00B719FA">
        <w:rPr>
          <w:rFonts w:ascii="Garamond" w:hAnsi="Garamond" w:cs="Times"/>
        </w:rPr>
        <w:t>An agreed management plan</w:t>
      </w:r>
      <w:r w:rsidR="00B86C62">
        <w:rPr>
          <w:rFonts w:ascii="Garamond" w:hAnsi="Garamond" w:cs="Times"/>
        </w:rPr>
        <w:t xml:space="preserve"> (see </w:t>
      </w:r>
      <w:r w:rsidR="00661718">
        <w:rPr>
          <w:rFonts w:ascii="Garamond" w:hAnsi="Garamond" w:cs="Times"/>
        </w:rPr>
        <w:fldChar w:fldCharType="begin"/>
      </w:r>
      <w:r w:rsidR="00661718">
        <w:rPr>
          <w:rFonts w:ascii="Garamond" w:hAnsi="Garamond" w:cs="Times"/>
        </w:rPr>
        <w:instrText xml:space="preserve"> REF _Ref269385929 \r \h </w:instrText>
      </w:r>
      <w:r w:rsidR="00661718">
        <w:rPr>
          <w:rFonts w:ascii="Garamond" w:hAnsi="Garamond" w:cs="Times"/>
        </w:rPr>
      </w:r>
      <w:r w:rsidR="00661718">
        <w:rPr>
          <w:rFonts w:ascii="Garamond" w:hAnsi="Garamond" w:cs="Times"/>
        </w:rPr>
        <w:fldChar w:fldCharType="separate"/>
      </w:r>
      <w:r w:rsidR="00661718">
        <w:rPr>
          <w:rFonts w:ascii="Garamond" w:hAnsi="Garamond" w:cs="Times"/>
        </w:rPr>
        <w:t>3.5.2</w:t>
      </w:r>
      <w:r w:rsidR="00661718">
        <w:rPr>
          <w:rFonts w:ascii="Garamond" w:hAnsi="Garamond" w:cs="Times"/>
        </w:rPr>
        <w:fldChar w:fldCharType="end"/>
      </w:r>
      <w:r w:rsidR="00B86C62">
        <w:rPr>
          <w:rFonts w:ascii="Garamond" w:hAnsi="Garamond" w:cs="Times"/>
        </w:rPr>
        <w:t>)</w:t>
      </w:r>
      <w:r w:rsidR="00B719FA" w:rsidRPr="00B719FA">
        <w:rPr>
          <w:rFonts w:ascii="Garamond" w:hAnsi="Garamond" w:cs="Times"/>
        </w:rPr>
        <w:t xml:space="preserve"> should also form part of this concession agreement.</w:t>
      </w:r>
      <w:r w:rsidR="00B719FA" w:rsidRPr="00B719FA">
        <w:rPr>
          <w:rStyle w:val="FootnoteReference"/>
          <w:rFonts w:ascii="Garamond" w:hAnsi="Garamond" w:cs="Times"/>
        </w:rPr>
        <w:footnoteReference w:id="55"/>
      </w:r>
      <w:r w:rsidR="00B719FA" w:rsidRPr="00B719FA">
        <w:rPr>
          <w:rFonts w:ascii="Garamond" w:hAnsi="Garamond" w:cs="Times"/>
        </w:rPr>
        <w:t xml:space="preserve">  </w:t>
      </w:r>
    </w:p>
    <w:p w14:paraId="68B2A0AB"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27CAB769" wp14:editId="68BD4C35">
            <wp:extent cx="2254250" cy="660400"/>
            <wp:effectExtent l="50800" t="25400" r="0" b="762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45F1DF1F" w14:textId="77777777" w:rsidR="009A113D" w:rsidRPr="00B81D2E" w:rsidRDefault="009A113D" w:rsidP="00EF2F06">
      <w:pPr>
        <w:rPr>
          <w:rFonts w:ascii="Garamond" w:hAnsi="Garamond"/>
        </w:rPr>
      </w:pPr>
    </w:p>
    <w:p w14:paraId="457E9F46" w14:textId="485B4941" w:rsidR="00EF2F06" w:rsidRDefault="00EF2F06" w:rsidP="00EF2F06">
      <w:pPr>
        <w:pStyle w:val="Heading3"/>
        <w:rPr>
          <w:rFonts w:ascii="Garamond" w:hAnsi="Garamond"/>
        </w:rPr>
      </w:pPr>
      <w:bookmarkStart w:id="66" w:name="_Toc269636345"/>
      <w:r>
        <w:rPr>
          <w:rFonts w:ascii="Garamond" w:hAnsi="Garamond"/>
        </w:rPr>
        <w:t>win-win deals</w:t>
      </w:r>
      <w:r w:rsidR="0037316F">
        <w:rPr>
          <w:rFonts w:ascii="Garamond" w:hAnsi="Garamond"/>
        </w:rPr>
        <w:t xml:space="preserve"> and things to avoid</w:t>
      </w:r>
      <w:bookmarkEnd w:id="66"/>
    </w:p>
    <w:p w14:paraId="25B11673" w14:textId="21B3D925" w:rsidR="00EF2F06" w:rsidRPr="006437D5" w:rsidRDefault="00C01CC2" w:rsidP="00EF2F06">
      <w:pPr>
        <w:spacing w:line="240" w:lineRule="auto"/>
        <w:rPr>
          <w:rFonts w:ascii="Garamond" w:hAnsi="Garamond"/>
        </w:rPr>
      </w:pPr>
      <w:r w:rsidRPr="006437D5">
        <w:rPr>
          <w:rFonts w:ascii="Garamond" w:hAnsi="Garamond"/>
        </w:rPr>
        <w:t>The best possible outcome in tourism concessioning is where both the authority and investor are satisfi</w:t>
      </w:r>
      <w:r w:rsidR="0037316F" w:rsidRPr="006437D5">
        <w:rPr>
          <w:rFonts w:ascii="Garamond" w:hAnsi="Garamond"/>
        </w:rPr>
        <w:t xml:space="preserve">ed that they have a </w:t>
      </w:r>
      <w:r w:rsidR="006437D5" w:rsidRPr="006437D5">
        <w:rPr>
          <w:rFonts w:ascii="Garamond" w:hAnsi="Garamond"/>
        </w:rPr>
        <w:t>fair</w:t>
      </w:r>
      <w:r w:rsidR="0037316F" w:rsidRPr="006437D5">
        <w:rPr>
          <w:rFonts w:ascii="Garamond" w:hAnsi="Garamond"/>
        </w:rPr>
        <w:t xml:space="preserve"> deal</w:t>
      </w:r>
      <w:r w:rsidR="006437D5" w:rsidRPr="006437D5">
        <w:rPr>
          <w:rFonts w:ascii="Garamond" w:hAnsi="Garamond"/>
        </w:rPr>
        <w:t xml:space="preserve"> which is value-for-money</w:t>
      </w:r>
      <w:r w:rsidR="0037316F" w:rsidRPr="006437D5">
        <w:rPr>
          <w:rFonts w:ascii="Garamond" w:hAnsi="Garamond"/>
        </w:rPr>
        <w:t xml:space="preserve">, and where </w:t>
      </w:r>
      <w:r w:rsidR="001416CA" w:rsidRPr="006437D5">
        <w:rPr>
          <w:rFonts w:ascii="Garamond" w:hAnsi="Garamond"/>
        </w:rPr>
        <w:t xml:space="preserve">potential problems are pre-empted as far as possible. </w:t>
      </w:r>
      <w:r w:rsidR="006437D5" w:rsidRPr="006437D5">
        <w:rPr>
          <w:rFonts w:ascii="Garamond" w:hAnsi="Garamond"/>
        </w:rPr>
        <w:t xml:space="preserve"> </w:t>
      </w:r>
    </w:p>
    <w:p w14:paraId="773E7B77" w14:textId="23138CFE" w:rsidR="000515B3" w:rsidRPr="00C941D4" w:rsidRDefault="006437D5" w:rsidP="00EF2F06">
      <w:pPr>
        <w:spacing w:line="240" w:lineRule="auto"/>
        <w:rPr>
          <w:rFonts w:ascii="Garamond" w:hAnsi="Garamond"/>
        </w:rPr>
      </w:pPr>
      <w:r w:rsidRPr="00C941D4">
        <w:rPr>
          <w:rFonts w:ascii="Garamond" w:hAnsi="Garamond"/>
        </w:rPr>
        <w:t xml:space="preserve">Characteristics of </w:t>
      </w:r>
      <w:r w:rsidR="000515B3" w:rsidRPr="00C941D4">
        <w:rPr>
          <w:rFonts w:ascii="Garamond" w:hAnsi="Garamond"/>
        </w:rPr>
        <w:t>a good deal</w:t>
      </w:r>
      <w:r w:rsidR="00C941D4" w:rsidRPr="00C941D4">
        <w:rPr>
          <w:rFonts w:ascii="Garamond" w:hAnsi="Garamond"/>
        </w:rPr>
        <w:t xml:space="preserve"> include:</w:t>
      </w:r>
      <w:r w:rsidR="000515B3" w:rsidRPr="00C941D4">
        <w:rPr>
          <w:rStyle w:val="FootnoteReference"/>
          <w:rFonts w:ascii="Garamond" w:hAnsi="Garamond"/>
        </w:rPr>
        <w:t xml:space="preserve"> </w:t>
      </w:r>
      <w:r w:rsidR="000515B3" w:rsidRPr="00C941D4">
        <w:rPr>
          <w:rStyle w:val="FootnoteReference"/>
          <w:rFonts w:ascii="Garamond" w:hAnsi="Garamond"/>
        </w:rPr>
        <w:footnoteReference w:id="56"/>
      </w:r>
    </w:p>
    <w:p w14:paraId="2DB83029" w14:textId="62AEBD92" w:rsidR="000515B3" w:rsidRPr="00C941D4" w:rsidRDefault="000515B3" w:rsidP="00F47607">
      <w:pPr>
        <w:pStyle w:val="ListParagraph"/>
        <w:numPr>
          <w:ilvl w:val="0"/>
          <w:numId w:val="51"/>
        </w:numPr>
        <w:spacing w:line="240" w:lineRule="auto"/>
        <w:rPr>
          <w:rFonts w:ascii="Garamond" w:hAnsi="Garamond"/>
          <w:b/>
        </w:rPr>
      </w:pPr>
      <w:r w:rsidRPr="00C941D4">
        <w:rPr>
          <w:rFonts w:ascii="Garamond" w:hAnsi="Garamond"/>
          <w:b/>
        </w:rPr>
        <w:t>Affordable</w:t>
      </w:r>
      <w:r w:rsidR="00C941D4" w:rsidRPr="00C941D4">
        <w:rPr>
          <w:rFonts w:ascii="Garamond" w:hAnsi="Garamond"/>
          <w:b/>
        </w:rPr>
        <w:t xml:space="preserve"> </w:t>
      </w:r>
      <w:r w:rsidR="00C941D4" w:rsidRPr="00C941D4">
        <w:rPr>
          <w:rFonts w:ascii="Garamond" w:hAnsi="Garamond"/>
        </w:rPr>
        <w:t>to the authority</w:t>
      </w:r>
      <w:r w:rsidR="00CE20E6">
        <w:rPr>
          <w:rFonts w:ascii="Garamond" w:hAnsi="Garamond"/>
        </w:rPr>
        <w:t>.</w:t>
      </w:r>
    </w:p>
    <w:p w14:paraId="731EBBFC" w14:textId="64AB8119" w:rsidR="000515B3" w:rsidRPr="00C941D4" w:rsidRDefault="000515B3" w:rsidP="00F47607">
      <w:pPr>
        <w:pStyle w:val="ListParagraph"/>
        <w:numPr>
          <w:ilvl w:val="0"/>
          <w:numId w:val="51"/>
        </w:numPr>
        <w:spacing w:line="240" w:lineRule="auto"/>
        <w:rPr>
          <w:rFonts w:ascii="Garamond" w:hAnsi="Garamond"/>
          <w:b/>
        </w:rPr>
      </w:pPr>
      <w:r w:rsidRPr="00C941D4">
        <w:rPr>
          <w:rFonts w:ascii="Garamond" w:hAnsi="Garamond"/>
          <w:b/>
        </w:rPr>
        <w:t>Value for money</w:t>
      </w:r>
      <w:r w:rsidR="00C941D4" w:rsidRPr="00C941D4">
        <w:rPr>
          <w:rFonts w:ascii="Garamond" w:hAnsi="Garamond"/>
        </w:rPr>
        <w:t>, relating to the high-level business plan compiled during the Design and Feasibility step</w:t>
      </w:r>
      <w:r w:rsidR="00CE20E6">
        <w:rPr>
          <w:rFonts w:ascii="Garamond" w:hAnsi="Garamond"/>
        </w:rPr>
        <w:t>.</w:t>
      </w:r>
    </w:p>
    <w:p w14:paraId="1BB6D8C7" w14:textId="2017FDB6" w:rsidR="000515B3" w:rsidRPr="00C941D4" w:rsidRDefault="000515B3" w:rsidP="00F47607">
      <w:pPr>
        <w:pStyle w:val="ListParagraph"/>
        <w:numPr>
          <w:ilvl w:val="0"/>
          <w:numId w:val="51"/>
        </w:numPr>
        <w:spacing w:line="240" w:lineRule="auto"/>
        <w:rPr>
          <w:rFonts w:ascii="Garamond" w:hAnsi="Garamond"/>
        </w:rPr>
      </w:pPr>
      <w:r w:rsidRPr="00C941D4">
        <w:rPr>
          <w:rFonts w:ascii="Garamond" w:hAnsi="Garamond"/>
          <w:b/>
        </w:rPr>
        <w:t>Acceptable transfer of commercial risk</w:t>
      </w:r>
      <w:r w:rsidRPr="00C941D4">
        <w:rPr>
          <w:rFonts w:ascii="Garamond" w:hAnsi="Garamond"/>
        </w:rPr>
        <w:t>, including relating to construction, insolvency, market demand, and operation</w:t>
      </w:r>
      <w:r w:rsidR="00C941D4" w:rsidRPr="00C941D4">
        <w:rPr>
          <w:rFonts w:ascii="Garamond" w:hAnsi="Garamond"/>
        </w:rPr>
        <w:t xml:space="preserve">. </w:t>
      </w:r>
    </w:p>
    <w:p w14:paraId="52EDE8E2" w14:textId="32B22047" w:rsidR="006437D5" w:rsidRPr="00C941D4" w:rsidRDefault="00C941D4" w:rsidP="00F47607">
      <w:pPr>
        <w:pStyle w:val="ListParagraph"/>
        <w:numPr>
          <w:ilvl w:val="0"/>
          <w:numId w:val="51"/>
        </w:numPr>
        <w:spacing w:line="240" w:lineRule="auto"/>
        <w:rPr>
          <w:rFonts w:ascii="Garamond" w:hAnsi="Garamond"/>
          <w:b/>
        </w:rPr>
      </w:pPr>
      <w:r>
        <w:rPr>
          <w:rFonts w:ascii="Garamond" w:hAnsi="Garamond"/>
          <w:b/>
        </w:rPr>
        <w:t>Adequate</w:t>
      </w:r>
      <w:r w:rsidRPr="00C941D4">
        <w:rPr>
          <w:rFonts w:ascii="Garamond" w:hAnsi="Garamond"/>
          <w:b/>
        </w:rPr>
        <w:t xml:space="preserve"> technical </w:t>
      </w:r>
      <w:r>
        <w:rPr>
          <w:rFonts w:ascii="Garamond" w:hAnsi="Garamond"/>
          <w:b/>
        </w:rPr>
        <w:t>capacity</w:t>
      </w:r>
      <w:r w:rsidRPr="00C941D4">
        <w:rPr>
          <w:rFonts w:ascii="Garamond" w:hAnsi="Garamond"/>
          <w:b/>
        </w:rPr>
        <w:t>.</w:t>
      </w:r>
      <w:r w:rsidRPr="00C941D4">
        <w:rPr>
          <w:rFonts w:ascii="Garamond" w:hAnsi="Garamond"/>
        </w:rPr>
        <w:t xml:space="preserve"> Proven operational ability, marketing capability and existing client bases are more accurate of long-term sustainability of tourism concessions than financial forecasts included within bids. </w:t>
      </w:r>
    </w:p>
    <w:p w14:paraId="3DE95AD8" w14:textId="1405615C" w:rsidR="00945DB2" w:rsidRPr="00C941D4" w:rsidRDefault="001416CA" w:rsidP="00C941D4">
      <w:pPr>
        <w:widowControl w:val="0"/>
        <w:autoSpaceDE w:val="0"/>
        <w:autoSpaceDN w:val="0"/>
        <w:adjustRightInd w:val="0"/>
        <w:rPr>
          <w:rFonts w:ascii="Times" w:hAnsi="Times" w:cs="Times"/>
          <w:sz w:val="26"/>
          <w:szCs w:val="26"/>
        </w:rPr>
      </w:pPr>
      <w:r w:rsidRPr="00C941D4">
        <w:rPr>
          <w:rFonts w:ascii="Garamond" w:hAnsi="Garamond"/>
        </w:rPr>
        <w:t>Pitfalls to</w:t>
      </w:r>
      <w:r w:rsidR="0037316F" w:rsidRPr="00C941D4">
        <w:rPr>
          <w:rFonts w:ascii="Garamond" w:hAnsi="Garamond"/>
        </w:rPr>
        <w:t xml:space="preserve"> avoid</w:t>
      </w:r>
      <w:r w:rsidR="00C941D4">
        <w:rPr>
          <w:rFonts w:ascii="Garamond" w:hAnsi="Garamond"/>
          <w:b/>
        </w:rPr>
        <w:t xml:space="preserve"> </w:t>
      </w:r>
      <w:r w:rsidR="0037316F">
        <w:rPr>
          <w:rFonts w:ascii="Garamond" w:hAnsi="Garamond"/>
        </w:rPr>
        <w:t>include:</w:t>
      </w:r>
      <w:r w:rsidR="00945DB2" w:rsidRPr="0037316F">
        <w:rPr>
          <w:rStyle w:val="FootnoteReference"/>
          <w:rFonts w:ascii="Garamond" w:hAnsi="Garamond"/>
        </w:rPr>
        <w:footnoteReference w:id="57"/>
      </w:r>
    </w:p>
    <w:p w14:paraId="3C4EDB53" w14:textId="77777777" w:rsidR="00945DB2" w:rsidRPr="00125C53" w:rsidRDefault="00945DB2" w:rsidP="00F47607">
      <w:pPr>
        <w:pStyle w:val="ListParagraph"/>
        <w:numPr>
          <w:ilvl w:val="0"/>
          <w:numId w:val="23"/>
        </w:numPr>
        <w:spacing w:before="0" w:after="0" w:line="240" w:lineRule="auto"/>
        <w:jc w:val="left"/>
        <w:rPr>
          <w:rFonts w:ascii="Garamond" w:hAnsi="Garamond"/>
        </w:rPr>
      </w:pPr>
      <w:r w:rsidRPr="00125C53">
        <w:rPr>
          <w:rFonts w:ascii="Garamond" w:hAnsi="Garamond"/>
          <w:b/>
        </w:rPr>
        <w:t>Thinking there will be no problems:</w:t>
      </w:r>
      <w:r w:rsidRPr="00125C53">
        <w:rPr>
          <w:rFonts w:ascii="Garamond" w:hAnsi="Garamond"/>
        </w:rPr>
        <w:t xml:space="preserve"> </w:t>
      </w:r>
      <w:r w:rsidRPr="00125C53">
        <w:rPr>
          <w:rFonts w:ascii="Garamond" w:hAnsi="Garamond" w:cs="Arial"/>
        </w:rPr>
        <w:t>Most contracts face issues and problems through their tenure. It will be foolish to imagine there will be no problems.</w:t>
      </w:r>
    </w:p>
    <w:p w14:paraId="27B51DC5" w14:textId="77777777" w:rsidR="00945DB2" w:rsidRDefault="00945DB2" w:rsidP="00F47607">
      <w:pPr>
        <w:pStyle w:val="ListParagraph"/>
        <w:numPr>
          <w:ilvl w:val="0"/>
          <w:numId w:val="23"/>
        </w:numPr>
        <w:spacing w:before="0" w:after="0" w:line="240" w:lineRule="auto"/>
        <w:jc w:val="left"/>
        <w:rPr>
          <w:rFonts w:ascii="Garamond" w:hAnsi="Garamond"/>
        </w:rPr>
      </w:pPr>
      <w:r w:rsidRPr="00125C53">
        <w:rPr>
          <w:rFonts w:ascii="Garamond" w:hAnsi="Garamond"/>
          <w:b/>
        </w:rPr>
        <w:t>Hasty, inadequate or non-existent due diligence</w:t>
      </w:r>
      <w:r>
        <w:rPr>
          <w:rFonts w:ascii="Garamond" w:hAnsi="Garamond"/>
        </w:rPr>
        <w:t>.</w:t>
      </w:r>
    </w:p>
    <w:p w14:paraId="52196F78" w14:textId="77777777"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Not knowing what you want. </w:t>
      </w:r>
      <w:r w:rsidRPr="00425049">
        <w:rPr>
          <w:rFonts w:ascii="Garamond" w:hAnsi="Garamond" w:cs="Arial"/>
        </w:rPr>
        <w:t xml:space="preserve">If you don't know what you want, you might not like what you get. Also, if you change your </w:t>
      </w:r>
      <w:r w:rsidRPr="00425049">
        <w:rPr>
          <w:rFonts w:ascii="Garamond" w:hAnsi="Garamond"/>
        </w:rPr>
        <w:t> </w:t>
      </w:r>
      <w:r w:rsidRPr="00425049">
        <w:rPr>
          <w:rFonts w:ascii="Garamond" w:hAnsi="Garamond" w:cs="Arial"/>
        </w:rPr>
        <w:t xml:space="preserve">mind and change the scope, the contract and price will change. Know clearly what you want. </w:t>
      </w:r>
    </w:p>
    <w:p w14:paraId="15B6B5A3" w14:textId="668CB8F5"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Failing to negotiate. </w:t>
      </w:r>
      <w:r w:rsidRPr="00425049">
        <w:rPr>
          <w:rFonts w:ascii="Garamond" w:hAnsi="Garamond" w:cs="Arial"/>
        </w:rPr>
        <w:t xml:space="preserve">It means that there is need to discuss, argue, deliberate, and ultimately agree upon all terms </w:t>
      </w:r>
      <w:r w:rsidRPr="00425049">
        <w:rPr>
          <w:rFonts w:ascii="Garamond" w:hAnsi="Garamond"/>
        </w:rPr>
        <w:t> </w:t>
      </w:r>
      <w:r w:rsidRPr="00425049">
        <w:rPr>
          <w:rFonts w:ascii="Garamond" w:hAnsi="Garamond" w:cs="Arial"/>
        </w:rPr>
        <w:t xml:space="preserve">of the </w:t>
      </w:r>
      <w:r>
        <w:rPr>
          <w:rFonts w:ascii="Garamond" w:hAnsi="Garamond" w:cs="Arial"/>
        </w:rPr>
        <w:t xml:space="preserve">concession </w:t>
      </w:r>
      <w:r w:rsidRPr="00425049">
        <w:rPr>
          <w:rFonts w:ascii="Garamond" w:hAnsi="Garamond" w:cs="Arial"/>
        </w:rPr>
        <w:t xml:space="preserve">agreement. </w:t>
      </w:r>
    </w:p>
    <w:p w14:paraId="1D62E31E" w14:textId="17FBD5A0"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Failing to understand. </w:t>
      </w:r>
      <w:r w:rsidRPr="00425049">
        <w:rPr>
          <w:rFonts w:ascii="Garamond" w:hAnsi="Garamond" w:cs="Arial"/>
        </w:rPr>
        <w:t xml:space="preserve">If </w:t>
      </w:r>
      <w:r>
        <w:rPr>
          <w:rFonts w:ascii="Garamond" w:hAnsi="Garamond" w:cs="Arial"/>
        </w:rPr>
        <w:t>something related to the concession is unclear</w:t>
      </w:r>
      <w:r w:rsidRPr="00425049">
        <w:rPr>
          <w:rFonts w:ascii="Garamond" w:hAnsi="Garamond" w:cs="Arial"/>
        </w:rPr>
        <w:t>, there is need to find out what it means. Demand explanations</w:t>
      </w:r>
      <w:r>
        <w:rPr>
          <w:rFonts w:ascii="Garamond" w:hAnsi="Garamond" w:cs="Arial"/>
        </w:rPr>
        <w:t xml:space="preserve"> and achieve </w:t>
      </w:r>
      <w:r w:rsidRPr="00425049">
        <w:rPr>
          <w:rFonts w:ascii="Garamond" w:hAnsi="Garamond" w:cs="Arial"/>
        </w:rPr>
        <w:t>answers</w:t>
      </w:r>
      <w:r>
        <w:rPr>
          <w:rFonts w:ascii="Garamond" w:hAnsi="Garamond" w:cs="Arial"/>
        </w:rPr>
        <w:t xml:space="preserve"> before signing an agreement. </w:t>
      </w:r>
    </w:p>
    <w:p w14:paraId="79E6BA21" w14:textId="77777777" w:rsidR="001416CA" w:rsidRPr="001416CA" w:rsidRDefault="001416CA" w:rsidP="001416CA">
      <w:pPr>
        <w:pStyle w:val="ListParagraph"/>
        <w:spacing w:before="0" w:after="0" w:line="240" w:lineRule="auto"/>
        <w:jc w:val="left"/>
        <w:rPr>
          <w:rFonts w:ascii="Garamond" w:hAnsi="Garamond"/>
        </w:rPr>
      </w:pPr>
    </w:p>
    <w:p w14:paraId="762AA49F" w14:textId="4696B471" w:rsidR="001416CA" w:rsidRDefault="00432078" w:rsidP="001416CA">
      <w:pPr>
        <w:spacing w:before="0" w:after="0" w:line="240" w:lineRule="auto"/>
        <w:jc w:val="left"/>
        <w:rPr>
          <w:rFonts w:ascii="Garamond" w:hAnsi="Garamond"/>
        </w:rPr>
      </w:pPr>
      <w:r>
        <w:rPr>
          <w:rFonts w:ascii="Garamond" w:hAnsi="Garamond"/>
        </w:rPr>
        <w:t>Important elements of good concession agreements</w:t>
      </w:r>
      <w:r w:rsidR="001416CA">
        <w:rPr>
          <w:rFonts w:ascii="Garamond" w:hAnsi="Garamond"/>
        </w:rPr>
        <w:t xml:space="preserve"> include:</w:t>
      </w:r>
      <w:r w:rsidR="001416CA" w:rsidRPr="001416CA">
        <w:rPr>
          <w:rStyle w:val="FootnoteReference"/>
          <w:rFonts w:ascii="Garamond" w:hAnsi="Garamond"/>
        </w:rPr>
        <w:t xml:space="preserve"> </w:t>
      </w:r>
      <w:r w:rsidR="001416CA" w:rsidRPr="0037316F">
        <w:rPr>
          <w:rStyle w:val="FootnoteReference"/>
          <w:rFonts w:ascii="Garamond" w:hAnsi="Garamond"/>
        </w:rPr>
        <w:footnoteReference w:id="58"/>
      </w:r>
      <w:r w:rsidR="001416CA">
        <w:rPr>
          <w:rFonts w:ascii="Garamond" w:hAnsi="Garamond"/>
        </w:rPr>
        <w:t xml:space="preserve"> </w:t>
      </w:r>
    </w:p>
    <w:p w14:paraId="157C25A9" w14:textId="77777777" w:rsidR="001416CA" w:rsidRDefault="001416CA" w:rsidP="001416CA">
      <w:pPr>
        <w:spacing w:before="0" w:after="0" w:line="240" w:lineRule="auto"/>
        <w:jc w:val="left"/>
        <w:rPr>
          <w:rFonts w:ascii="Garamond" w:hAnsi="Garamond"/>
        </w:rPr>
      </w:pPr>
    </w:p>
    <w:p w14:paraId="5AF3E058" w14:textId="5A9D675F" w:rsidR="001416CA" w:rsidRPr="001416CA"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Clear</w:t>
      </w:r>
      <w:r w:rsidR="000B4703">
        <w:rPr>
          <w:rFonts w:ascii="Garamond" w:hAnsi="Garamond"/>
          <w:b/>
        </w:rPr>
        <w:t xml:space="preserve"> </w:t>
      </w:r>
      <w:r w:rsidR="001416CA" w:rsidRPr="00125C53">
        <w:rPr>
          <w:rFonts w:ascii="Garamond" w:hAnsi="Garamond"/>
          <w:b/>
        </w:rPr>
        <w:t>identify the parties to the contract</w:t>
      </w:r>
      <w:r w:rsidR="001416CA" w:rsidRPr="00125C53">
        <w:rPr>
          <w:rFonts w:ascii="Garamond" w:hAnsi="Garamond"/>
        </w:rPr>
        <w:t xml:space="preserve">: </w:t>
      </w:r>
      <w:r w:rsidR="001416CA" w:rsidRPr="00125C53">
        <w:rPr>
          <w:rFonts w:ascii="Garamond" w:hAnsi="Garamond" w:cs="Arial"/>
        </w:rPr>
        <w:t>In the case of corporations or other business entities, it is important to verify the capacity of the contracting party to bind the corporation to the contract</w:t>
      </w:r>
    </w:p>
    <w:p w14:paraId="6A43DE96" w14:textId="4F871B8A" w:rsidR="00945DB2" w:rsidRPr="00125C5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Clear payment</w:t>
      </w:r>
      <w:r w:rsidR="00945DB2" w:rsidRPr="00125C53">
        <w:rPr>
          <w:rFonts w:ascii="Garamond" w:hAnsi="Garamond"/>
          <w:b/>
        </w:rPr>
        <w:t xml:space="preserve"> terms</w:t>
      </w:r>
      <w:r w:rsidR="00945DB2" w:rsidRPr="00125C53">
        <w:rPr>
          <w:rFonts w:ascii="Garamond" w:hAnsi="Garamond"/>
        </w:rPr>
        <w:t xml:space="preserve">: </w:t>
      </w:r>
      <w:r w:rsidR="00945DB2" w:rsidRPr="00125C53">
        <w:rPr>
          <w:rFonts w:ascii="Garamond" w:hAnsi="Garamond" w:cs="Arial"/>
        </w:rPr>
        <w:t>The contract should explicitly state the exact payment terms with no room left for ambiguity.</w:t>
      </w:r>
    </w:p>
    <w:p w14:paraId="34BCFB12" w14:textId="1B75E5D8" w:rsidR="00945DB2" w:rsidRPr="000B4703"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Legal approval of</w:t>
      </w:r>
      <w:r w:rsidR="000B4703">
        <w:rPr>
          <w:rFonts w:ascii="Garamond" w:hAnsi="Garamond"/>
          <w:b/>
        </w:rPr>
        <w:t xml:space="preserve"> the contract</w:t>
      </w:r>
      <w:r w:rsidR="00945DB2" w:rsidRPr="00425049">
        <w:rPr>
          <w:rFonts w:ascii="Garamond" w:hAnsi="Garamond"/>
          <w:b/>
        </w:rPr>
        <w:t>. </w:t>
      </w:r>
      <w:r w:rsidR="00945DB2" w:rsidRPr="00425049">
        <w:rPr>
          <w:rFonts w:ascii="Garamond" w:hAnsi="Garamond" w:cs="Arial"/>
        </w:rPr>
        <w:t xml:space="preserve">Always ensure a legal review of the contract for legal vetting and validation. </w:t>
      </w:r>
      <w:r w:rsidR="000B4703">
        <w:rPr>
          <w:rFonts w:ascii="Garamond" w:hAnsi="Garamond" w:cs="Arial"/>
        </w:rPr>
        <w:t xml:space="preserve"> </w:t>
      </w:r>
      <w:r w:rsidR="000B4703" w:rsidRPr="00425049">
        <w:rPr>
          <w:rFonts w:ascii="Garamond" w:hAnsi="Garamond" w:cs="Arial"/>
        </w:rPr>
        <w:t>Model agreement and samples are useful but the final agreement should be thoroughly verified.</w:t>
      </w:r>
    </w:p>
    <w:p w14:paraId="2BB68C0C" w14:textId="70ABC554" w:rsidR="000B4703" w:rsidRPr="000B4703"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B</w:t>
      </w:r>
      <w:r w:rsidR="000B4703" w:rsidRPr="00425049">
        <w:rPr>
          <w:rFonts w:ascii="Garamond" w:hAnsi="Garamond"/>
          <w:b/>
        </w:rPr>
        <w:t>oilerplate provisions.</w:t>
      </w:r>
      <w:r w:rsidR="000B4703" w:rsidRPr="00425049">
        <w:rPr>
          <w:rFonts w:ascii="Garamond" w:hAnsi="Garamond"/>
        </w:rPr>
        <w:t xml:space="preserve"> T</w:t>
      </w:r>
      <w:r w:rsidR="000B4703" w:rsidRPr="00425049">
        <w:rPr>
          <w:rFonts w:ascii="Garamond" w:hAnsi="Garamond" w:cs="Arial"/>
        </w:rPr>
        <w:t xml:space="preserve">hese are clauses that protect the rights and privileges of the parties, like Notice Provisions, Assignment, Warranties, Indemnity, Consent to jurisdiction, Dispute Resolution, Modification of Agreement. </w:t>
      </w:r>
    </w:p>
    <w:p w14:paraId="50F8AE44" w14:textId="277B5E92"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P</w:t>
      </w:r>
      <w:r w:rsidR="00945DB2" w:rsidRPr="00425049">
        <w:rPr>
          <w:rFonts w:ascii="Garamond" w:hAnsi="Garamond"/>
          <w:b/>
        </w:rPr>
        <w:t>rovisions relating to defaults, opportunities to cure and termination.</w:t>
      </w:r>
      <w:r w:rsidR="00945DB2" w:rsidRPr="00425049">
        <w:rPr>
          <w:rFonts w:ascii="Garamond" w:hAnsi="Garamond"/>
        </w:rPr>
        <w:t xml:space="preserve">  </w:t>
      </w:r>
      <w:r w:rsidR="00945DB2" w:rsidRPr="00425049">
        <w:rPr>
          <w:rFonts w:ascii="Garamond" w:hAnsi="Garamond" w:cs="Arial"/>
        </w:rPr>
        <w:t xml:space="preserve">These provisions are important ways to promote performance and avoid litigation. </w:t>
      </w:r>
      <w:r w:rsidR="000B4703" w:rsidRPr="00425049">
        <w:rPr>
          <w:rFonts w:ascii="Garamond" w:hAnsi="Garamond" w:cs="Arial"/>
        </w:rPr>
        <w:t>Timelines for completion of the project is imperative along with penalties for non-compliance.</w:t>
      </w:r>
    </w:p>
    <w:p w14:paraId="6F42408A" w14:textId="4F63F1B2"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lastRenderedPageBreak/>
        <w:t>Comprehensive</w:t>
      </w:r>
      <w:r w:rsidR="00945DB2" w:rsidRPr="00425049">
        <w:rPr>
          <w:rFonts w:ascii="Garamond" w:hAnsi="Garamond"/>
        </w:rPr>
        <w:t>:  </w:t>
      </w:r>
      <w:r w:rsidR="00945DB2" w:rsidRPr="00425049">
        <w:rPr>
          <w:rFonts w:ascii="Garamond" w:hAnsi="Garamond" w:cs="Arial"/>
        </w:rPr>
        <w:t xml:space="preserve">Not only should the legal terms be covered, but also the specific requirements of both parties. If no stone is left unturned, interests are always being protected. </w:t>
      </w:r>
      <w:r w:rsidR="000B4703">
        <w:rPr>
          <w:rFonts w:ascii="Garamond" w:hAnsi="Garamond" w:cs="Arial"/>
        </w:rPr>
        <w:t xml:space="preserve"> </w:t>
      </w:r>
      <w:r w:rsidR="000B4703" w:rsidRPr="00425049">
        <w:rPr>
          <w:rFonts w:ascii="Garamond" w:hAnsi="Garamond" w:cs="Arial"/>
        </w:rPr>
        <w:t>The written contract always defines the duties and responsibilities. Reliance upon verbal advice is always a risk.</w:t>
      </w:r>
    </w:p>
    <w:p w14:paraId="58CFC11C" w14:textId="5D268651"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C</w:t>
      </w:r>
      <w:r w:rsidR="00945DB2" w:rsidRPr="00425049">
        <w:rPr>
          <w:rFonts w:ascii="Garamond" w:hAnsi="Garamond"/>
          <w:b/>
        </w:rPr>
        <w:t>ontract language/s and translations.</w:t>
      </w:r>
      <w:r w:rsidR="00945DB2" w:rsidRPr="00425049">
        <w:rPr>
          <w:rFonts w:ascii="Garamond" w:hAnsi="Garamond"/>
        </w:rPr>
        <w:t xml:space="preserve">  </w:t>
      </w:r>
      <w:r w:rsidR="00945DB2" w:rsidRPr="00425049">
        <w:rPr>
          <w:rFonts w:ascii="Garamond" w:hAnsi="Garamond" w:cs="Arial"/>
        </w:rPr>
        <w:t xml:space="preserve">If the contract exists in several language versions, only one version of the contract is a binding contract. All other language versions are translations for convenience only and have no legal binding power </w:t>
      </w:r>
    </w:p>
    <w:p w14:paraId="19352318" w14:textId="42F336FA" w:rsidR="00945DB2" w:rsidRPr="000B470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D</w:t>
      </w:r>
      <w:r w:rsidR="00432078">
        <w:rPr>
          <w:rFonts w:ascii="Garamond" w:hAnsi="Garamond"/>
          <w:b/>
        </w:rPr>
        <w:t>efinition of</w:t>
      </w:r>
      <w:r w:rsidR="00945DB2" w:rsidRPr="00425049">
        <w:rPr>
          <w:rFonts w:ascii="Garamond" w:hAnsi="Garamond"/>
          <w:b/>
        </w:rPr>
        <w:t xml:space="preserve"> rights and obligations that are assignable:</w:t>
      </w:r>
      <w:r w:rsidR="00945DB2" w:rsidRPr="00425049">
        <w:rPr>
          <w:rFonts w:ascii="Garamond" w:hAnsi="Garamond"/>
        </w:rPr>
        <w:t xml:space="preserve"> </w:t>
      </w:r>
      <w:r w:rsidR="00945DB2" w:rsidRPr="00425049">
        <w:rPr>
          <w:rFonts w:ascii="Garamond" w:hAnsi="Garamond" w:cs="Arial"/>
        </w:rPr>
        <w:t>You should include an assignment clause, so you can transfer the rights to third parties without seeking consent of the other party.</w:t>
      </w:r>
    </w:p>
    <w:p w14:paraId="751E5466" w14:textId="034C7610" w:rsidR="00A7435D" w:rsidRPr="000B470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E</w:t>
      </w:r>
      <w:r w:rsidR="00945DB2" w:rsidRPr="00425049">
        <w:rPr>
          <w:rFonts w:ascii="Garamond" w:hAnsi="Garamond"/>
          <w:b/>
        </w:rPr>
        <w:t>stablishing internal procedures and protocols to insure contractual compliance and avoid disputes:</w:t>
      </w:r>
      <w:r w:rsidR="00945DB2" w:rsidRPr="00425049">
        <w:rPr>
          <w:rFonts w:ascii="Garamond" w:hAnsi="Garamond"/>
        </w:rPr>
        <w:t xml:space="preserve"> </w:t>
      </w:r>
      <w:r w:rsidR="00945DB2" w:rsidRPr="00425049">
        <w:rPr>
          <w:rFonts w:ascii="Garamond" w:hAnsi="Garamond" w:cs="Arial"/>
        </w:rPr>
        <w:t xml:space="preserve">The final and often most serious mistake are the filing of the contract in a cabinet and then forgetting about it. The </w:t>
      </w:r>
      <w:r w:rsidR="001416CA">
        <w:rPr>
          <w:rFonts w:ascii="Garamond" w:hAnsi="Garamond" w:cs="Arial"/>
        </w:rPr>
        <w:t>authority</w:t>
      </w:r>
      <w:r w:rsidR="00945DB2" w:rsidRPr="00425049">
        <w:rPr>
          <w:rFonts w:ascii="Garamond" w:hAnsi="Garamond" w:cs="Arial"/>
        </w:rPr>
        <w:t xml:space="preserve"> too often ignores the contract and only consults it when problems arise. By failing to establish procedures to monitor performance, the parties may breach their contracts or may waive the right to insist that the other party fulfill their obligations.</w:t>
      </w:r>
    </w:p>
    <w:p w14:paraId="2759E9CE" w14:textId="5EA3F491" w:rsidR="000B4703"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T</w:t>
      </w:r>
      <w:r w:rsidR="000B4703">
        <w:rPr>
          <w:rFonts w:ascii="Garamond" w:hAnsi="Garamond"/>
          <w:b/>
        </w:rPr>
        <w:t>ransboundary issues are addressed:</w:t>
      </w:r>
      <w:r w:rsidR="000B4703">
        <w:rPr>
          <w:rFonts w:ascii="Garamond" w:hAnsi="Garamond"/>
        </w:rPr>
        <w:t xml:space="preserve"> Where a concession is transboundary, ensure that sufficient attention has been given to the roles, responsibilities, and conditions of all parties in the participating countries. </w:t>
      </w:r>
    </w:p>
    <w:p w14:paraId="1D7FEEAF" w14:textId="77777777" w:rsidR="00C00F2B" w:rsidRDefault="00C00F2B" w:rsidP="00C00F2B">
      <w:pPr>
        <w:spacing w:before="0" w:after="0" w:line="240" w:lineRule="auto"/>
        <w:jc w:val="left"/>
        <w:rPr>
          <w:rFonts w:ascii="Garamond" w:hAnsi="Garamond"/>
        </w:rPr>
      </w:pPr>
    </w:p>
    <w:p w14:paraId="5790C133"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6750B1B1" wp14:editId="6FBED03A">
            <wp:extent cx="2254250" cy="660400"/>
            <wp:effectExtent l="50800" t="25400" r="0" b="7620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C80E2FC" w14:textId="2CA82A2B" w:rsidR="00C00F2B" w:rsidRDefault="00C00F2B">
      <w:pPr>
        <w:spacing w:before="0" w:after="0" w:line="240" w:lineRule="auto"/>
        <w:jc w:val="left"/>
        <w:rPr>
          <w:rFonts w:ascii="Garamond" w:hAnsi="Garamond"/>
        </w:rPr>
      </w:pPr>
      <w:r>
        <w:rPr>
          <w:rFonts w:ascii="Garamond" w:hAnsi="Garamond"/>
        </w:rPr>
        <w:br w:type="page"/>
      </w:r>
    </w:p>
    <w:p w14:paraId="4A667123" w14:textId="77777777" w:rsidR="00C00F2B" w:rsidRPr="00C00F2B" w:rsidRDefault="00C00F2B" w:rsidP="00C00F2B">
      <w:pPr>
        <w:spacing w:before="0" w:after="0" w:line="240" w:lineRule="auto"/>
        <w:jc w:val="left"/>
        <w:rPr>
          <w:rFonts w:ascii="Garamond" w:hAnsi="Garamond"/>
        </w:rPr>
      </w:pPr>
    </w:p>
    <w:p w14:paraId="2946A030" w14:textId="77777777" w:rsidR="001416CA" w:rsidRPr="001416CA" w:rsidRDefault="001416CA" w:rsidP="001416CA">
      <w:pPr>
        <w:pStyle w:val="ListParagraph"/>
        <w:spacing w:before="0" w:after="0" w:line="240" w:lineRule="auto"/>
        <w:jc w:val="left"/>
        <w:rPr>
          <w:rFonts w:ascii="Garamond" w:hAnsi="Garamond"/>
        </w:rPr>
      </w:pPr>
    </w:p>
    <w:p w14:paraId="06CA4442" w14:textId="1E7284BE" w:rsidR="00C27ECA" w:rsidRPr="006311F5" w:rsidRDefault="00A7435D" w:rsidP="00C27ECA">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67" w:name="_Toc269636346"/>
      <w:r>
        <w:rPr>
          <w:rFonts w:ascii="Garamond" w:hAnsi="Garamond"/>
        </w:rPr>
        <w:t>Step 5: Contract management</w:t>
      </w:r>
      <w:bookmarkEnd w:id="67"/>
    </w:p>
    <w:p w14:paraId="7BD6A04E" w14:textId="039E7845" w:rsidR="00A7435D" w:rsidRDefault="00345DD4" w:rsidP="00AD05C7">
      <w:pPr>
        <w:pStyle w:val="ListParagraph"/>
        <w:spacing w:before="0" w:after="0" w:line="240" w:lineRule="auto"/>
        <w:ind w:left="0"/>
        <w:rPr>
          <w:rFonts w:ascii="Garamond" w:hAnsi="Garamond"/>
          <w:color w:val="000000"/>
          <w:sz w:val="24"/>
          <w:szCs w:val="24"/>
        </w:rPr>
      </w:pPr>
      <w:r>
        <w:rPr>
          <w:rFonts w:ascii="Garamond" w:hAnsi="Garamond"/>
          <w:color w:val="000000"/>
          <w:sz w:val="24"/>
          <w:szCs w:val="24"/>
          <w:highlight w:val="yellow"/>
        </w:rPr>
        <w:t xml:space="preserve">Target: </w:t>
      </w:r>
      <w:r w:rsidR="00A7435D" w:rsidRPr="00A7435D">
        <w:rPr>
          <w:rFonts w:ascii="Garamond" w:hAnsi="Garamond"/>
          <w:color w:val="000000"/>
          <w:sz w:val="24"/>
          <w:szCs w:val="24"/>
          <w:highlight w:val="yellow"/>
        </w:rPr>
        <w:t>4</w:t>
      </w:r>
      <w:r w:rsidR="00A7435D">
        <w:rPr>
          <w:rFonts w:ascii="Garamond" w:hAnsi="Garamond"/>
          <w:color w:val="000000"/>
          <w:sz w:val="24"/>
          <w:szCs w:val="24"/>
          <w:highlight w:val="yellow"/>
        </w:rPr>
        <w:t>-5</w:t>
      </w:r>
      <w:r w:rsidR="00A7435D" w:rsidRPr="00A7435D">
        <w:rPr>
          <w:rFonts w:ascii="Garamond" w:hAnsi="Garamond"/>
          <w:color w:val="000000"/>
          <w:sz w:val="24"/>
          <w:szCs w:val="24"/>
          <w:highlight w:val="yellow"/>
        </w:rPr>
        <w:t xml:space="preserve"> pages</w:t>
      </w:r>
    </w:p>
    <w:p w14:paraId="79B10624" w14:textId="77777777" w:rsidR="008973AD" w:rsidRDefault="008973AD" w:rsidP="008973AD">
      <w:pPr>
        <w:spacing w:before="0" w:after="0" w:line="240" w:lineRule="auto"/>
        <w:jc w:val="left"/>
        <w:rPr>
          <w:rFonts w:ascii="Garamond" w:hAnsi="Garamond"/>
        </w:rPr>
      </w:pPr>
    </w:p>
    <w:p w14:paraId="72C2DC36" w14:textId="114D2BE7" w:rsidR="00AD05C7" w:rsidRDefault="00AD05C7" w:rsidP="008973AD">
      <w:pPr>
        <w:spacing w:before="0" w:after="0" w:line="240" w:lineRule="auto"/>
        <w:jc w:val="left"/>
        <w:rPr>
          <w:rFonts w:ascii="Garamond" w:hAnsi="Garamond"/>
        </w:rPr>
      </w:pPr>
      <w:r>
        <w:rPr>
          <w:rFonts w:ascii="Garamond" w:hAnsi="Garamond"/>
        </w:rPr>
        <w:t xml:space="preserve">During Contract management, the authority and concessionaire undertake to implement the activities and responsibilities of the concession agreement. This step outlines the operational phase of the concession, and also next steps following the end of the concession. </w:t>
      </w:r>
    </w:p>
    <w:p w14:paraId="3886EC4B" w14:textId="77777777" w:rsidR="00AD05C7" w:rsidRPr="008973AD" w:rsidRDefault="00AD05C7" w:rsidP="008973AD">
      <w:pPr>
        <w:spacing w:before="0" w:after="0" w:line="240" w:lineRule="auto"/>
        <w:jc w:val="left"/>
        <w:rPr>
          <w:rFonts w:ascii="Garamond" w:hAnsi="Garamond"/>
        </w:rPr>
      </w:pPr>
    </w:p>
    <w:p w14:paraId="69DCBE13" w14:textId="34212DC9" w:rsidR="00D14A91" w:rsidRPr="00D14A91" w:rsidRDefault="008973AD" w:rsidP="008973AD">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440E3541" wp14:editId="4D95427C">
            <wp:extent cx="2944283" cy="867833"/>
            <wp:effectExtent l="76200" t="50800" r="27940" b="9779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6C1A8AC4" w14:textId="7707765C" w:rsidR="00EF2F06" w:rsidRDefault="00EF2F06" w:rsidP="00EF2F06">
      <w:pPr>
        <w:pStyle w:val="Heading3"/>
        <w:rPr>
          <w:rFonts w:ascii="Garamond" w:hAnsi="Garamond"/>
        </w:rPr>
      </w:pPr>
      <w:bookmarkStart w:id="68" w:name="_Toc269636347"/>
      <w:r>
        <w:rPr>
          <w:rFonts w:ascii="Garamond" w:hAnsi="Garamond"/>
        </w:rPr>
        <w:t>capacity and skills</w:t>
      </w:r>
      <w:bookmarkEnd w:id="68"/>
    </w:p>
    <w:p w14:paraId="2E963558" w14:textId="77777777" w:rsidR="00D14A91" w:rsidRDefault="00D22EE8" w:rsidP="00EF2F06">
      <w:pPr>
        <w:spacing w:line="240" w:lineRule="auto"/>
        <w:rPr>
          <w:rFonts w:ascii="Garamond" w:hAnsi="Garamond"/>
        </w:rPr>
      </w:pPr>
      <w:r w:rsidRPr="00D14A91">
        <w:rPr>
          <w:rFonts w:ascii="Garamond" w:hAnsi="Garamond"/>
        </w:rPr>
        <w:t xml:space="preserve">Once a contract is signed, the authority needs sufficient capacity and skills to manage the concession in accordance with the agreement. </w:t>
      </w:r>
    </w:p>
    <w:p w14:paraId="7A31F8C6" w14:textId="27FF15DA" w:rsidR="00D14A91" w:rsidRDefault="00D14A91" w:rsidP="00D14A91">
      <w:pPr>
        <w:rPr>
          <w:rFonts w:ascii="Garamond" w:hAnsi="Garamond"/>
        </w:rPr>
      </w:pPr>
      <w:r>
        <w:rPr>
          <w:rFonts w:ascii="Garamond" w:hAnsi="Garamond"/>
        </w:rPr>
        <w:t xml:space="preserve">A contract management team </w:t>
      </w:r>
      <w:r w:rsidR="00660C7B">
        <w:rPr>
          <w:rFonts w:ascii="Garamond" w:hAnsi="Garamond"/>
        </w:rPr>
        <w:t xml:space="preserve">within the authority </w:t>
      </w:r>
      <w:r>
        <w:rPr>
          <w:rFonts w:ascii="Garamond" w:hAnsi="Garamond"/>
        </w:rPr>
        <w:t>should be established which includes the following</w:t>
      </w:r>
      <w:r w:rsidR="00860A6E">
        <w:rPr>
          <w:rFonts w:ascii="Garamond" w:hAnsi="Garamond"/>
        </w:rPr>
        <w:t xml:space="preserve"> elements</w:t>
      </w:r>
      <w:r>
        <w:rPr>
          <w:rFonts w:ascii="Garamond" w:hAnsi="Garamond"/>
        </w:rPr>
        <w:t xml:space="preserve">: </w:t>
      </w:r>
      <w:r>
        <w:rPr>
          <w:rStyle w:val="FootnoteReference"/>
          <w:rFonts w:ascii="Garamond" w:hAnsi="Garamond"/>
        </w:rPr>
        <w:footnoteReference w:id="59"/>
      </w:r>
    </w:p>
    <w:p w14:paraId="4B639311" w14:textId="1CBB344C" w:rsidR="00860A6E" w:rsidRPr="00EA5DBE" w:rsidRDefault="00860A6E" w:rsidP="00F47607">
      <w:pPr>
        <w:pStyle w:val="ListParagraph"/>
        <w:numPr>
          <w:ilvl w:val="0"/>
          <w:numId w:val="42"/>
        </w:numPr>
        <w:spacing w:before="0" w:after="0" w:line="240" w:lineRule="auto"/>
        <w:jc w:val="left"/>
        <w:rPr>
          <w:rFonts w:ascii="Garamond" w:hAnsi="Garamond" w:cs="Wingdings 2"/>
          <w:color w:val="145A53"/>
        </w:rPr>
      </w:pPr>
      <w:r>
        <w:rPr>
          <w:rFonts w:ascii="Garamond" w:hAnsi="Garamond"/>
        </w:rPr>
        <w:t>Responsibility for</w:t>
      </w:r>
      <w:r w:rsidRPr="00EA5DBE">
        <w:rPr>
          <w:rFonts w:ascii="Garamond" w:hAnsi="Garamond"/>
        </w:rPr>
        <w:t xml:space="preserve"> contract management</w:t>
      </w:r>
      <w:r w:rsidR="00565848">
        <w:rPr>
          <w:rFonts w:ascii="Garamond" w:hAnsi="Garamond"/>
        </w:rPr>
        <w:t>.</w:t>
      </w:r>
      <w:r w:rsidRPr="00EA5DBE">
        <w:rPr>
          <w:rFonts w:ascii="Garamond" w:hAnsi="Garamond"/>
        </w:rPr>
        <w:t xml:space="preserve">  </w:t>
      </w:r>
    </w:p>
    <w:p w14:paraId="33BA42EB" w14:textId="15F953E9" w:rsidR="00860A6E"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Team members with the </w:t>
      </w:r>
      <w:r w:rsidRPr="00EA5DBE">
        <w:rPr>
          <w:rFonts w:ascii="Garamond" w:hAnsi="Garamond"/>
        </w:rPr>
        <w:t>skills, knowledge and</w:t>
      </w:r>
      <w:r w:rsidRPr="00EA5DBE">
        <w:rPr>
          <w:rFonts w:ascii="Garamond" w:hAnsi="Garamond" w:cs="Times"/>
        </w:rPr>
        <w:t xml:space="preserve"> </w:t>
      </w:r>
      <w:r w:rsidRPr="00EA5DBE">
        <w:rPr>
          <w:rFonts w:ascii="Garamond" w:hAnsi="Garamond"/>
        </w:rPr>
        <w:t xml:space="preserve">abilities </w:t>
      </w:r>
      <w:r>
        <w:rPr>
          <w:rFonts w:ascii="Garamond" w:hAnsi="Garamond"/>
        </w:rPr>
        <w:t>to apply to</w:t>
      </w:r>
      <w:r w:rsidRPr="00EA5DBE">
        <w:rPr>
          <w:rFonts w:ascii="Garamond" w:hAnsi="Garamond"/>
        </w:rPr>
        <w:t xml:space="preserve"> concessions management</w:t>
      </w:r>
      <w:r w:rsidR="00565848">
        <w:rPr>
          <w:rFonts w:ascii="Garamond" w:hAnsi="Garamond"/>
        </w:rPr>
        <w:t>.</w:t>
      </w:r>
      <w:r w:rsidRPr="00EA5DBE">
        <w:rPr>
          <w:rFonts w:ascii="Garamond" w:hAnsi="Garamond"/>
        </w:rPr>
        <w:t> </w:t>
      </w:r>
    </w:p>
    <w:p w14:paraId="6A21C76D" w14:textId="54D1F6E3"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Adequate</w:t>
      </w:r>
      <w:r w:rsidR="00D14A91" w:rsidRPr="00EA5DBE">
        <w:rPr>
          <w:rFonts w:ascii="Garamond" w:hAnsi="Garamond"/>
        </w:rPr>
        <w:t xml:space="preserve"> funding </w:t>
      </w:r>
      <w:r>
        <w:rPr>
          <w:rFonts w:ascii="Garamond" w:hAnsi="Garamond"/>
        </w:rPr>
        <w:t>for its operation</w:t>
      </w:r>
      <w:r w:rsidR="00565848">
        <w:rPr>
          <w:rFonts w:ascii="Garamond" w:hAnsi="Garamond"/>
        </w:rPr>
        <w:t>.</w:t>
      </w:r>
    </w:p>
    <w:p w14:paraId="480070E5" w14:textId="51F9A5BE"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Thorough </w:t>
      </w:r>
      <w:r w:rsidR="00D14A91" w:rsidRPr="00EA5DBE">
        <w:rPr>
          <w:rFonts w:ascii="Garamond" w:hAnsi="Garamond"/>
        </w:rPr>
        <w:t>understanding of the c</w:t>
      </w:r>
      <w:r>
        <w:rPr>
          <w:rFonts w:ascii="Garamond" w:hAnsi="Garamond"/>
        </w:rPr>
        <w:t xml:space="preserve">oncession agreements, roles and responsibilities, </w:t>
      </w:r>
      <w:r w:rsidR="00D14A91" w:rsidRPr="00EA5DBE">
        <w:rPr>
          <w:rFonts w:ascii="Garamond" w:hAnsi="Garamond"/>
        </w:rPr>
        <w:t>and ownership</w:t>
      </w:r>
      <w:r>
        <w:rPr>
          <w:rFonts w:ascii="Garamond" w:hAnsi="Garamond"/>
        </w:rPr>
        <w:t xml:space="preserve"> and payment mechanisms. </w:t>
      </w:r>
    </w:p>
    <w:p w14:paraId="53F7D7BC" w14:textId="3A04B68C"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Establishment in advance of the concession agreement beginning. </w:t>
      </w:r>
      <w:r w:rsidR="00D14A91" w:rsidRPr="00EA5DBE">
        <w:rPr>
          <w:rFonts w:ascii="Garamond" w:hAnsi="Garamond"/>
        </w:rPr>
        <w:t xml:space="preserve"> </w:t>
      </w:r>
    </w:p>
    <w:p w14:paraId="739CF9D5" w14:textId="1914C546" w:rsidR="00D14A91" w:rsidRPr="00860A6E" w:rsidRDefault="00D14A91" w:rsidP="00F47607">
      <w:pPr>
        <w:pStyle w:val="ListParagraph"/>
        <w:numPr>
          <w:ilvl w:val="0"/>
          <w:numId w:val="42"/>
        </w:numPr>
        <w:spacing w:before="0" w:after="0" w:line="240" w:lineRule="auto"/>
        <w:jc w:val="left"/>
        <w:rPr>
          <w:rFonts w:ascii="Garamond" w:hAnsi="Garamond" w:cs="Times"/>
        </w:rPr>
      </w:pPr>
      <w:r w:rsidRPr="00EA5DBE">
        <w:rPr>
          <w:rFonts w:ascii="Garamond" w:hAnsi="Garamond"/>
        </w:rPr>
        <w:t>Ensure the partnership ethos is developed and maintained</w:t>
      </w:r>
      <w:r w:rsidR="00860A6E">
        <w:rPr>
          <w:rFonts w:ascii="Garamond" w:hAnsi="Garamond"/>
        </w:rPr>
        <w:t xml:space="preserve"> between team members, and with the concessionaires</w:t>
      </w:r>
      <w:r w:rsidR="00565848">
        <w:rPr>
          <w:rFonts w:ascii="Garamond" w:hAnsi="Garamond"/>
        </w:rPr>
        <w:t>.</w:t>
      </w:r>
      <w:r w:rsidRPr="00EA5DBE">
        <w:rPr>
          <w:rFonts w:ascii="Garamond" w:hAnsi="Garamond"/>
        </w:rPr>
        <w:t xml:space="preserve"> </w:t>
      </w:r>
      <w:r w:rsidRPr="00860A6E">
        <w:rPr>
          <w:rFonts w:ascii="Garamond" w:hAnsi="Garamond"/>
        </w:rPr>
        <w:t> </w:t>
      </w:r>
    </w:p>
    <w:p w14:paraId="50E028B9" w14:textId="61E9B7D0" w:rsidR="00D14A91" w:rsidRPr="00860A6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Production of </w:t>
      </w:r>
      <w:r w:rsidR="00D14A91" w:rsidRPr="00EA5DBE">
        <w:rPr>
          <w:rFonts w:ascii="Garamond" w:hAnsi="Garamond"/>
        </w:rPr>
        <w:t xml:space="preserve">an Operational Contract Manual for </w:t>
      </w:r>
      <w:r>
        <w:rPr>
          <w:rFonts w:ascii="Garamond" w:hAnsi="Garamond"/>
        </w:rPr>
        <w:t xml:space="preserve">use by the team in managing the contract (see </w:t>
      </w:r>
      <w:r>
        <w:rPr>
          <w:rFonts w:ascii="Garamond" w:hAnsi="Garamond"/>
        </w:rPr>
        <w:fldChar w:fldCharType="begin"/>
      </w:r>
      <w:r>
        <w:rPr>
          <w:rFonts w:ascii="Garamond" w:hAnsi="Garamond"/>
        </w:rPr>
        <w:instrText xml:space="preserve"> REF _Ref269029296 \r \h </w:instrText>
      </w:r>
      <w:r>
        <w:rPr>
          <w:rFonts w:ascii="Garamond" w:hAnsi="Garamond"/>
        </w:rPr>
      </w:r>
      <w:r>
        <w:rPr>
          <w:rFonts w:ascii="Garamond" w:hAnsi="Garamond"/>
        </w:rPr>
        <w:fldChar w:fldCharType="separate"/>
      </w:r>
      <w:r>
        <w:rPr>
          <w:rFonts w:ascii="Garamond" w:hAnsi="Garamond"/>
        </w:rPr>
        <w:t>3.5.2</w:t>
      </w:r>
      <w:r>
        <w:rPr>
          <w:rFonts w:ascii="Garamond" w:hAnsi="Garamond"/>
        </w:rPr>
        <w:fldChar w:fldCharType="end"/>
      </w:r>
      <w:r>
        <w:rPr>
          <w:rFonts w:ascii="Garamond" w:hAnsi="Garamond"/>
        </w:rPr>
        <w:t xml:space="preserve">). </w:t>
      </w:r>
    </w:p>
    <w:p w14:paraId="1ED0612E" w14:textId="77777777" w:rsidR="00860A6E" w:rsidRDefault="00860A6E" w:rsidP="00860A6E">
      <w:pPr>
        <w:spacing w:before="0" w:after="0" w:line="240" w:lineRule="auto"/>
        <w:jc w:val="left"/>
        <w:rPr>
          <w:rFonts w:ascii="Garamond" w:hAnsi="Garamond"/>
        </w:rPr>
      </w:pPr>
    </w:p>
    <w:p w14:paraId="514A659B" w14:textId="6C124BC1" w:rsidR="00EF2F06" w:rsidRPr="00860A6E" w:rsidRDefault="00860A6E" w:rsidP="00860A6E">
      <w:pPr>
        <w:spacing w:before="0" w:after="0" w:line="240" w:lineRule="auto"/>
        <w:jc w:val="left"/>
        <w:rPr>
          <w:rFonts w:ascii="Garamond" w:hAnsi="Garamond" w:cs="Times"/>
        </w:rPr>
      </w:pPr>
      <w:r w:rsidRPr="00860A6E">
        <w:rPr>
          <w:rFonts w:ascii="Garamond" w:hAnsi="Garamond"/>
        </w:rPr>
        <w:t>Where gaps in capacity are identified, identify initial and ong</w:t>
      </w:r>
      <w:r>
        <w:rPr>
          <w:rFonts w:ascii="Garamond" w:hAnsi="Garamond"/>
        </w:rPr>
        <w:t>oing team training requirements. O</w:t>
      </w:r>
      <w:r w:rsidR="00D22EE8" w:rsidRPr="00D14A91">
        <w:rPr>
          <w:rFonts w:ascii="Garamond" w:hAnsi="Garamond"/>
        </w:rPr>
        <w:t xml:space="preserve">ptions </w:t>
      </w:r>
      <w:r>
        <w:rPr>
          <w:rFonts w:ascii="Garamond" w:hAnsi="Garamond"/>
        </w:rPr>
        <w:t xml:space="preserve">to enhance the team can </w:t>
      </w:r>
      <w:r w:rsidR="00D22EE8" w:rsidRPr="00D14A91">
        <w:rPr>
          <w:rFonts w:ascii="Garamond" w:hAnsi="Garamond"/>
        </w:rPr>
        <w:t>include:</w:t>
      </w:r>
    </w:p>
    <w:p w14:paraId="18724D58" w14:textId="3EEFFB4D" w:rsidR="00D22EE8" w:rsidRPr="00D14A91" w:rsidRDefault="00D22EE8" w:rsidP="00F47607">
      <w:pPr>
        <w:pStyle w:val="ListParagraph"/>
        <w:numPr>
          <w:ilvl w:val="0"/>
          <w:numId w:val="41"/>
        </w:numPr>
        <w:spacing w:line="240" w:lineRule="auto"/>
        <w:rPr>
          <w:rFonts w:ascii="Garamond" w:hAnsi="Garamond"/>
        </w:rPr>
      </w:pPr>
      <w:r w:rsidRPr="00D14A91">
        <w:rPr>
          <w:rFonts w:ascii="Garamond" w:hAnsi="Garamond"/>
          <w:b/>
        </w:rPr>
        <w:t>Formal training programs</w:t>
      </w:r>
      <w:r w:rsidRPr="00D14A91">
        <w:rPr>
          <w:rFonts w:ascii="Garamond" w:hAnsi="Garamond"/>
        </w:rPr>
        <w:t xml:space="preserve">: </w:t>
      </w:r>
      <w:r w:rsidR="00D14A91" w:rsidRPr="00D14A91">
        <w:rPr>
          <w:rFonts w:ascii="Garamond" w:hAnsi="Garamond"/>
        </w:rPr>
        <w:t xml:space="preserve">With classroom-based tuition on concession and contract management (e.g. the IFC commissioned training manual for Lesotho’s concessions program). </w:t>
      </w:r>
    </w:p>
    <w:p w14:paraId="3D6105F2" w14:textId="5F05C0CB" w:rsidR="00D22EE8" w:rsidRPr="004F3C79" w:rsidRDefault="00D22EE8" w:rsidP="00F47607">
      <w:pPr>
        <w:pStyle w:val="ListParagraph"/>
        <w:numPr>
          <w:ilvl w:val="0"/>
          <w:numId w:val="40"/>
        </w:numPr>
        <w:spacing w:before="0" w:after="0" w:line="240" w:lineRule="auto"/>
        <w:jc w:val="left"/>
        <w:rPr>
          <w:rFonts w:ascii="Garamond" w:hAnsi="Garamond"/>
        </w:rPr>
      </w:pPr>
      <w:r w:rsidRPr="00D14A91">
        <w:rPr>
          <w:rFonts w:ascii="Garamond" w:hAnsi="Garamond"/>
          <w:b/>
        </w:rPr>
        <w:t xml:space="preserve">Exchange visits to meet with representatives of other </w:t>
      </w:r>
      <w:r w:rsidR="00D14A91" w:rsidRPr="00D14A91">
        <w:rPr>
          <w:rFonts w:ascii="Garamond" w:hAnsi="Garamond"/>
          <w:b/>
        </w:rPr>
        <w:t>concessioning</w:t>
      </w:r>
      <w:r w:rsidRPr="00D14A91">
        <w:rPr>
          <w:rFonts w:ascii="Garamond" w:hAnsi="Garamond"/>
          <w:b/>
        </w:rPr>
        <w:t xml:space="preserve"> authorities</w:t>
      </w:r>
      <w:r w:rsidRPr="00D14A91">
        <w:rPr>
          <w:rFonts w:ascii="Garamond" w:hAnsi="Garamond"/>
        </w:rPr>
        <w:t xml:space="preserve"> – these can be used to discuss their processes, visit their concession sites, and discuss issues with</w:t>
      </w:r>
      <w:r w:rsidRPr="004F3C79">
        <w:rPr>
          <w:rFonts w:ascii="Garamond" w:hAnsi="Garamond"/>
        </w:rPr>
        <w:t xml:space="preserve"> stakeholders from investors to local communities. </w:t>
      </w:r>
    </w:p>
    <w:p w14:paraId="4E2DD92C" w14:textId="483FC862" w:rsidR="00D22EE8" w:rsidRDefault="00D22EE8" w:rsidP="00F47607">
      <w:pPr>
        <w:pStyle w:val="ListParagraph"/>
        <w:numPr>
          <w:ilvl w:val="0"/>
          <w:numId w:val="40"/>
        </w:numPr>
        <w:spacing w:before="0" w:after="0" w:line="240" w:lineRule="auto"/>
        <w:jc w:val="left"/>
        <w:rPr>
          <w:rFonts w:ascii="Garamond" w:hAnsi="Garamond"/>
        </w:rPr>
      </w:pPr>
      <w:r w:rsidRPr="004F3C79">
        <w:rPr>
          <w:rFonts w:ascii="Garamond" w:hAnsi="Garamond"/>
          <w:b/>
        </w:rPr>
        <w:t>Mentorship by technical experts</w:t>
      </w:r>
      <w:r w:rsidRPr="004F3C79">
        <w:rPr>
          <w:rFonts w:ascii="Garamond" w:hAnsi="Garamond"/>
        </w:rPr>
        <w:t xml:space="preserve"> – as and when technical experts in concessions are contracted are contracted to work on the process (in concessions, risk assessment, legal due diligence, tourism etc</w:t>
      </w:r>
      <w:r>
        <w:rPr>
          <w:rFonts w:ascii="Garamond" w:hAnsi="Garamond"/>
        </w:rPr>
        <w:t>.</w:t>
      </w:r>
      <w:r w:rsidRPr="004F3C79">
        <w:rPr>
          <w:rFonts w:ascii="Garamond" w:hAnsi="Garamond"/>
        </w:rPr>
        <w:t>) they can be requested to work in collaboration with a technical counterpart within the protected area authority to bu</w:t>
      </w:r>
      <w:r w:rsidR="00D14A91">
        <w:rPr>
          <w:rFonts w:ascii="Garamond" w:hAnsi="Garamond"/>
        </w:rPr>
        <w:t>ild capacity during the process</w:t>
      </w:r>
      <w:r>
        <w:rPr>
          <w:rFonts w:ascii="Garamond" w:hAnsi="Garamond"/>
        </w:rPr>
        <w:t xml:space="preserve">. </w:t>
      </w:r>
    </w:p>
    <w:p w14:paraId="6F6A7A17" w14:textId="30E72733" w:rsidR="00EF2F06" w:rsidRDefault="00D22EE8" w:rsidP="00F47607">
      <w:pPr>
        <w:pStyle w:val="ListParagraph"/>
        <w:numPr>
          <w:ilvl w:val="0"/>
          <w:numId w:val="40"/>
        </w:numPr>
        <w:spacing w:before="0" w:after="0" w:line="240" w:lineRule="auto"/>
        <w:jc w:val="left"/>
        <w:rPr>
          <w:rFonts w:ascii="Garamond" w:hAnsi="Garamond"/>
        </w:rPr>
      </w:pPr>
      <w:r w:rsidRPr="00D14A91">
        <w:rPr>
          <w:rFonts w:ascii="Garamond" w:hAnsi="Garamond"/>
          <w:b/>
        </w:rPr>
        <w:t>Recruit short-term technical advisors</w:t>
      </w:r>
      <w:r>
        <w:rPr>
          <w:rFonts w:ascii="Garamond" w:hAnsi="Garamond"/>
        </w:rPr>
        <w:t xml:space="preserve"> </w:t>
      </w:r>
      <w:r w:rsidR="00D14A91">
        <w:rPr>
          <w:rFonts w:ascii="Garamond" w:hAnsi="Garamond"/>
        </w:rPr>
        <w:t>–</w:t>
      </w:r>
      <w:r>
        <w:rPr>
          <w:rFonts w:ascii="Garamond" w:hAnsi="Garamond"/>
        </w:rPr>
        <w:t xml:space="preserve"> </w:t>
      </w:r>
      <w:r w:rsidR="00D14A91">
        <w:rPr>
          <w:rFonts w:ascii="Garamond" w:hAnsi="Garamond"/>
        </w:rPr>
        <w:t xml:space="preserve">this can be useful where there are short-timeframes for certain tasks, or where detailed technical knowledge is needed (e.g. legal advice). </w:t>
      </w:r>
    </w:p>
    <w:p w14:paraId="7B188FF0" w14:textId="77777777" w:rsidR="0062390B" w:rsidRDefault="0062390B" w:rsidP="0062390B">
      <w:pPr>
        <w:spacing w:before="0" w:after="0" w:line="240" w:lineRule="auto"/>
        <w:jc w:val="left"/>
        <w:rPr>
          <w:rFonts w:ascii="Garamond" w:hAnsi="Garamond"/>
        </w:rPr>
      </w:pPr>
    </w:p>
    <w:p w14:paraId="03DB0519" w14:textId="589C3E33" w:rsidR="0062390B" w:rsidRDefault="0062390B" w:rsidP="0062390B">
      <w:pPr>
        <w:spacing w:before="0" w:after="0" w:line="240" w:lineRule="auto"/>
        <w:jc w:val="left"/>
        <w:rPr>
          <w:rFonts w:ascii="Garamond" w:hAnsi="Garamond"/>
        </w:rPr>
      </w:pPr>
      <w:r>
        <w:rPr>
          <w:rFonts w:ascii="Garamond" w:hAnsi="Garamond"/>
        </w:rPr>
        <w:t xml:space="preserve">Note that concession periods for infrastructure projects </w:t>
      </w:r>
      <w:r w:rsidR="00B45243">
        <w:rPr>
          <w:rFonts w:ascii="Garamond" w:hAnsi="Garamond"/>
        </w:rPr>
        <w:t xml:space="preserve">will likely be longer than the employment duration of individual (or entire) contract management team members, and also individuals working for the concession company. Retaining good relationships, and institutional memory of the concession process, the agreement, and concessioning process is vital.  </w:t>
      </w:r>
    </w:p>
    <w:p w14:paraId="570F2A6C" w14:textId="77777777" w:rsidR="00C00F2B" w:rsidRDefault="00C00F2B" w:rsidP="0062390B">
      <w:pPr>
        <w:spacing w:before="0" w:after="0" w:line="240" w:lineRule="auto"/>
        <w:jc w:val="left"/>
        <w:rPr>
          <w:rFonts w:ascii="Garamond" w:hAnsi="Garamond"/>
        </w:rPr>
      </w:pPr>
    </w:p>
    <w:p w14:paraId="2A45C243"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513A44B4" wp14:editId="370356AD">
            <wp:extent cx="2254250" cy="660400"/>
            <wp:effectExtent l="50800" t="25400" r="0" b="7620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7BDB61D9" w14:textId="77777777" w:rsidR="00C00F2B" w:rsidRPr="0062390B" w:rsidRDefault="00C00F2B" w:rsidP="0062390B">
      <w:pPr>
        <w:spacing w:before="0" w:after="0" w:line="240" w:lineRule="auto"/>
        <w:jc w:val="left"/>
        <w:rPr>
          <w:rFonts w:ascii="Garamond" w:hAnsi="Garamond"/>
        </w:rPr>
      </w:pPr>
    </w:p>
    <w:p w14:paraId="2ED796A3" w14:textId="77777777" w:rsidR="00D14A91" w:rsidRPr="00D14A91" w:rsidRDefault="00D14A91" w:rsidP="00D14A91">
      <w:pPr>
        <w:pStyle w:val="ListParagraph"/>
        <w:spacing w:before="0" w:after="0" w:line="240" w:lineRule="auto"/>
        <w:jc w:val="left"/>
        <w:rPr>
          <w:rFonts w:ascii="Garamond" w:hAnsi="Garamond"/>
        </w:rPr>
      </w:pPr>
    </w:p>
    <w:p w14:paraId="62DAC767" w14:textId="6EEBD414" w:rsidR="00EF2F06" w:rsidRDefault="00EF2F06" w:rsidP="00EF2F06">
      <w:pPr>
        <w:pStyle w:val="Heading3"/>
        <w:rPr>
          <w:rFonts w:ascii="Garamond" w:hAnsi="Garamond"/>
        </w:rPr>
      </w:pPr>
      <w:bookmarkStart w:id="69" w:name="_Ref269029296"/>
      <w:bookmarkStart w:id="70" w:name="_Ref269385929"/>
      <w:bookmarkStart w:id="71" w:name="_Toc269636348"/>
      <w:r>
        <w:rPr>
          <w:rFonts w:ascii="Garamond" w:hAnsi="Garamond"/>
        </w:rPr>
        <w:t>manuals</w:t>
      </w:r>
      <w:bookmarkEnd w:id="69"/>
      <w:bookmarkEnd w:id="70"/>
      <w:bookmarkEnd w:id="71"/>
    </w:p>
    <w:p w14:paraId="4D58D22A" w14:textId="09CB11C2" w:rsidR="009956E6" w:rsidRPr="00D14A91" w:rsidRDefault="00660C7B" w:rsidP="00D14A91">
      <w:pPr>
        <w:keepNext/>
        <w:keepLines/>
        <w:spacing w:after="0" w:line="240" w:lineRule="auto"/>
        <w:jc w:val="left"/>
        <w:outlineLvl w:val="8"/>
        <w:rPr>
          <w:rFonts w:ascii="Garamond" w:hAnsi="Garamond"/>
        </w:rPr>
      </w:pPr>
      <w:r>
        <w:rPr>
          <w:rFonts w:ascii="Garamond" w:hAnsi="Garamond"/>
        </w:rPr>
        <w:t>The concession manual should guide the authority’s team in their management of the concession agreement</w:t>
      </w:r>
      <w:r w:rsidR="0024756C">
        <w:rPr>
          <w:rFonts w:ascii="Garamond" w:hAnsi="Garamond"/>
        </w:rPr>
        <w:t>, for its entire duration</w:t>
      </w:r>
      <w:r>
        <w:rPr>
          <w:rFonts w:ascii="Garamond" w:hAnsi="Garamond"/>
        </w:rPr>
        <w:t xml:space="preserve">. </w:t>
      </w:r>
      <w:r w:rsidR="009956E6">
        <w:rPr>
          <w:rFonts w:ascii="Garamond" w:hAnsi="Garamond"/>
        </w:rPr>
        <w:t xml:space="preserve">An outline for a TFCA concession manual is provided in the box below. </w:t>
      </w:r>
      <w:r w:rsidR="009956E6">
        <w:rPr>
          <w:rFonts w:ascii="Garamond" w:hAnsi="Garamond"/>
        </w:rPr>
        <w:br/>
      </w:r>
    </w:p>
    <w:p w14:paraId="78BAED56" w14:textId="5735FB52" w:rsidR="001F17FA" w:rsidRPr="009956E6" w:rsidRDefault="009956E6" w:rsidP="009956E6">
      <w:pPr>
        <w:pStyle w:val="Caption"/>
        <w:keepNext/>
        <w:framePr w:hSpace="0" w:vSpace="0" w:wrap="auto" w:vAnchor="margin" w:yAlign="inline"/>
        <w:suppressOverlap w:val="0"/>
        <w:rPr>
          <w:sz w:val="20"/>
          <w:szCs w:val="20"/>
        </w:rPr>
      </w:pPr>
      <w:bookmarkStart w:id="72" w:name="_Toc269636042"/>
      <w:r w:rsidRPr="006256A0">
        <w:t xml:space="preserve">Box </w:t>
      </w:r>
      <w:r w:rsidR="00500A2A">
        <w:fldChar w:fldCharType="begin"/>
      </w:r>
      <w:r w:rsidR="00500A2A">
        <w:instrText xml:space="preserve"> SEQ Box \* ARABIC </w:instrText>
      </w:r>
      <w:r w:rsidR="00500A2A">
        <w:fldChar w:fldCharType="separate"/>
      </w:r>
      <w:r w:rsidR="007A3A62">
        <w:rPr>
          <w:noProof/>
        </w:rPr>
        <w:t>8</w:t>
      </w:r>
      <w:r w:rsidR="00500A2A">
        <w:rPr>
          <w:noProof/>
        </w:rPr>
        <w:fldChar w:fldCharType="end"/>
      </w:r>
      <w:r w:rsidRPr="006256A0">
        <w:t>:</w:t>
      </w:r>
      <w:r w:rsidRPr="00506C12">
        <w:rPr>
          <w:b w:val="0"/>
        </w:rPr>
        <w:t xml:space="preserve"> </w:t>
      </w:r>
      <w:r>
        <w:rPr>
          <w:sz w:val="20"/>
          <w:szCs w:val="20"/>
        </w:rPr>
        <w:t>Sample table of contents for a</w:t>
      </w:r>
      <w:r w:rsidRPr="006256A0">
        <w:rPr>
          <w:sz w:val="20"/>
          <w:szCs w:val="20"/>
        </w:rPr>
        <w:t xml:space="preserve"> concession manual</w:t>
      </w:r>
      <w:r w:rsidRPr="006256A0">
        <w:rPr>
          <w:rStyle w:val="FootnoteReference"/>
          <w:sz w:val="20"/>
          <w:szCs w:val="20"/>
        </w:rPr>
        <w:footnoteReference w:id="60"/>
      </w:r>
      <w:bookmarkEnd w:id="72"/>
      <w:r w:rsidRPr="006256A0">
        <w:rPr>
          <w:sz w:val="20"/>
          <w:szCs w:val="20"/>
        </w:rPr>
        <w:t xml:space="preserve"> </w:t>
      </w:r>
    </w:p>
    <w:tbl>
      <w:tblPr>
        <w:tblStyle w:val="TableGrid"/>
        <w:tblW w:w="0" w:type="auto"/>
        <w:tblLook w:val="04A0" w:firstRow="1" w:lastRow="0" w:firstColumn="1" w:lastColumn="0" w:noHBand="0" w:noVBand="1"/>
      </w:tblPr>
      <w:tblGrid>
        <w:gridCol w:w="9242"/>
      </w:tblGrid>
      <w:tr w:rsidR="006256A0" w14:paraId="288C8EEA" w14:textId="77777777" w:rsidTr="006256A0">
        <w:tc>
          <w:tcPr>
            <w:tcW w:w="9848" w:type="dxa"/>
          </w:tcPr>
          <w:p w14:paraId="0D45F07F" w14:textId="77777777" w:rsidR="006256A0" w:rsidRPr="006256A0" w:rsidRDefault="006256A0" w:rsidP="006256A0">
            <w:pPr>
              <w:spacing w:before="0" w:after="0" w:line="240" w:lineRule="auto"/>
              <w:rPr>
                <w:sz w:val="20"/>
                <w:szCs w:val="20"/>
              </w:rPr>
            </w:pPr>
          </w:p>
          <w:p w14:paraId="4F27F760" w14:textId="556AAF8E"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Contract terms</w:t>
            </w:r>
            <w:r>
              <w:rPr>
                <w:rFonts w:ascii="Garamond" w:hAnsi="Garamond"/>
                <w:b/>
                <w:sz w:val="20"/>
                <w:szCs w:val="20"/>
              </w:rPr>
              <w:t xml:space="preserve">: </w:t>
            </w:r>
            <w:r w:rsidRPr="006256A0">
              <w:rPr>
                <w:rFonts w:ascii="Garamond" w:hAnsi="Garamond"/>
                <w:sz w:val="20"/>
                <w:szCs w:val="20"/>
              </w:rPr>
              <w:t>including obligations, rights, term, options for renewal, transfer of rights, risks, conflicts, intellectual property</w:t>
            </w:r>
            <w:r>
              <w:rPr>
                <w:rFonts w:ascii="Garamond" w:hAnsi="Garamond"/>
                <w:sz w:val="20"/>
                <w:szCs w:val="20"/>
              </w:rPr>
              <w:t>.</w:t>
            </w:r>
          </w:p>
          <w:p w14:paraId="4B4A0367" w14:textId="77777777"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Project life cycle</w:t>
            </w:r>
          </w:p>
          <w:p w14:paraId="717164FA" w14:textId="77777777"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Communication channels</w:t>
            </w:r>
          </w:p>
          <w:p w14:paraId="263BAD81" w14:textId="4E74FDBE"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Environmental and conservation requirements</w:t>
            </w:r>
            <w:r>
              <w:rPr>
                <w:rFonts w:ascii="Garamond" w:hAnsi="Garamond"/>
                <w:sz w:val="20"/>
                <w:szCs w:val="20"/>
              </w:rPr>
              <w:t xml:space="preserve">: </w:t>
            </w:r>
            <w:r w:rsidRPr="006256A0">
              <w:rPr>
                <w:rFonts w:ascii="Garamond" w:hAnsi="Garamond"/>
                <w:sz w:val="20"/>
                <w:szCs w:val="20"/>
              </w:rPr>
              <w:t>including integrated environmental management; environmental control officers; cultural and natural resources; biosphere manipulation; game control; monitoring and research; patrols; numbers of beds; water; fire management; traversing; problem animals; alien biota; firearms; staff issues; aircraft and vehicles; game drive procedures; off road driving; guided</w:t>
            </w:r>
            <w:r>
              <w:rPr>
                <w:rFonts w:ascii="Garamond" w:hAnsi="Garamond"/>
                <w:sz w:val="20"/>
                <w:szCs w:val="20"/>
              </w:rPr>
              <w:t xml:space="preserve"> walks; cod</w:t>
            </w:r>
            <w:r w:rsidR="0024756C">
              <w:rPr>
                <w:rFonts w:ascii="Garamond" w:hAnsi="Garamond"/>
                <w:sz w:val="20"/>
                <w:szCs w:val="20"/>
              </w:rPr>
              <w:t>e</w:t>
            </w:r>
            <w:r>
              <w:rPr>
                <w:rFonts w:ascii="Garamond" w:hAnsi="Garamond"/>
                <w:sz w:val="20"/>
                <w:szCs w:val="20"/>
              </w:rPr>
              <w:t>s of conduct; safety</w:t>
            </w:r>
          </w:p>
          <w:p w14:paraId="5A7BE9E1" w14:textId="6BCCD912"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Technical infrastructure management</w:t>
            </w:r>
            <w:r>
              <w:rPr>
                <w:rFonts w:ascii="Garamond" w:hAnsi="Garamond"/>
                <w:sz w:val="20"/>
                <w:szCs w:val="20"/>
              </w:rPr>
              <w:t xml:space="preserve">: </w:t>
            </w:r>
            <w:r w:rsidRPr="006256A0">
              <w:rPr>
                <w:rFonts w:ascii="Garamond" w:hAnsi="Garamond"/>
                <w:sz w:val="20"/>
                <w:szCs w:val="20"/>
              </w:rPr>
              <w:t>including construction and design; power; water extraction; communications infrastructure; was</w:t>
            </w:r>
            <w:r>
              <w:rPr>
                <w:rFonts w:ascii="Garamond" w:hAnsi="Garamond"/>
                <w:sz w:val="20"/>
                <w:szCs w:val="20"/>
              </w:rPr>
              <w:t>te management; roads and tracks</w:t>
            </w:r>
          </w:p>
          <w:p w14:paraId="5EC84988" w14:textId="04A3E7E4"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Environmental and technical monitoring mechanism</w:t>
            </w:r>
            <w:r>
              <w:rPr>
                <w:rFonts w:ascii="Garamond" w:hAnsi="Garamond"/>
                <w:sz w:val="20"/>
                <w:szCs w:val="20"/>
              </w:rPr>
              <w:t>: relating to construction and operation</w:t>
            </w:r>
          </w:p>
          <w:p w14:paraId="44B9DCB8" w14:textId="6C1687FF" w:rsid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Social and empowerment requirements</w:t>
            </w:r>
            <w:r>
              <w:rPr>
                <w:rFonts w:ascii="Garamond" w:hAnsi="Garamond"/>
                <w:b/>
                <w:sz w:val="20"/>
                <w:szCs w:val="20"/>
              </w:rPr>
              <w:t xml:space="preserve">: </w:t>
            </w:r>
            <w:r w:rsidRPr="006256A0">
              <w:rPr>
                <w:rFonts w:ascii="Garamond" w:hAnsi="Garamond"/>
                <w:sz w:val="20"/>
                <w:szCs w:val="20"/>
              </w:rPr>
              <w:t>including shareholding, training and promotion, business oppo</w:t>
            </w:r>
            <w:r>
              <w:rPr>
                <w:rFonts w:ascii="Garamond" w:hAnsi="Garamond"/>
                <w:sz w:val="20"/>
                <w:szCs w:val="20"/>
              </w:rPr>
              <w:t>rtunities for local communities</w:t>
            </w:r>
          </w:p>
          <w:p w14:paraId="376C3F98" w14:textId="17D626F1" w:rsidR="006256A0" w:rsidRPr="006256A0" w:rsidRDefault="006256A0" w:rsidP="00F47607">
            <w:pPr>
              <w:numPr>
                <w:ilvl w:val="0"/>
                <w:numId w:val="44"/>
              </w:numPr>
              <w:spacing w:before="0" w:after="0" w:line="240" w:lineRule="auto"/>
              <w:jc w:val="left"/>
              <w:rPr>
                <w:rFonts w:ascii="Garamond" w:hAnsi="Garamond"/>
                <w:sz w:val="20"/>
                <w:szCs w:val="20"/>
              </w:rPr>
            </w:pPr>
            <w:r>
              <w:rPr>
                <w:rFonts w:ascii="Garamond" w:hAnsi="Garamond"/>
                <w:b/>
                <w:sz w:val="20"/>
                <w:szCs w:val="20"/>
              </w:rPr>
              <w:t>Transboundary mechanisms:</w:t>
            </w:r>
            <w:r>
              <w:rPr>
                <w:rFonts w:ascii="Garamond" w:hAnsi="Garamond"/>
                <w:sz w:val="20"/>
                <w:szCs w:val="20"/>
              </w:rPr>
              <w:t xml:space="preserve"> relating to transboundary movement of equipment, labour and tourists, and to the importation of construction and operational goods. </w:t>
            </w:r>
          </w:p>
          <w:p w14:paraId="2955516B" w14:textId="35A996D5"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Financial and contractual requirements</w:t>
            </w:r>
            <w:r>
              <w:rPr>
                <w:rFonts w:ascii="Garamond" w:hAnsi="Garamond"/>
                <w:sz w:val="20"/>
                <w:szCs w:val="20"/>
              </w:rPr>
              <w:t xml:space="preserve">: </w:t>
            </w:r>
            <w:r w:rsidRPr="006256A0">
              <w:rPr>
                <w:rFonts w:ascii="Garamond" w:hAnsi="Garamond"/>
                <w:sz w:val="20"/>
                <w:szCs w:val="20"/>
              </w:rPr>
              <w:t>including concession fees, minimum rental, fixe</w:t>
            </w:r>
            <w:r>
              <w:rPr>
                <w:rFonts w:ascii="Garamond" w:hAnsi="Garamond"/>
                <w:sz w:val="20"/>
                <w:szCs w:val="20"/>
              </w:rPr>
              <w:t>d fees, annual fees, monitoring</w:t>
            </w:r>
          </w:p>
          <w:p w14:paraId="49212FCA" w14:textId="02F1927B"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Breaches</w:t>
            </w:r>
            <w:r>
              <w:rPr>
                <w:rFonts w:ascii="Garamond" w:hAnsi="Garamond"/>
                <w:sz w:val="20"/>
                <w:szCs w:val="20"/>
              </w:rPr>
              <w:t xml:space="preserve">: </w:t>
            </w:r>
            <w:r w:rsidRPr="006256A0">
              <w:rPr>
                <w:rFonts w:ascii="Garamond" w:hAnsi="Garamond"/>
                <w:sz w:val="20"/>
                <w:szCs w:val="20"/>
              </w:rPr>
              <w:t>including financial, empowerment, and environmental breaches, and processes for remedial action – contact, final letter, performance bond</w:t>
            </w:r>
            <w:r>
              <w:rPr>
                <w:rFonts w:ascii="Garamond" w:hAnsi="Garamond"/>
                <w:sz w:val="20"/>
                <w:szCs w:val="20"/>
              </w:rPr>
              <w:t>, formal notice and termination</w:t>
            </w:r>
            <w:r w:rsidRPr="006256A0">
              <w:rPr>
                <w:rFonts w:ascii="Garamond" w:hAnsi="Garamond"/>
                <w:sz w:val="20"/>
                <w:szCs w:val="20"/>
              </w:rPr>
              <w:t xml:space="preserve">. </w:t>
            </w:r>
          </w:p>
          <w:p w14:paraId="193341E2" w14:textId="0649BB1B" w:rsidR="006256A0" w:rsidRPr="006256A0" w:rsidRDefault="006256A0" w:rsidP="00F47607">
            <w:pPr>
              <w:numPr>
                <w:ilvl w:val="0"/>
                <w:numId w:val="44"/>
              </w:numPr>
              <w:spacing w:before="0" w:after="0" w:line="240" w:lineRule="auto"/>
              <w:jc w:val="left"/>
              <w:rPr>
                <w:rFonts w:ascii="Garamond" w:hAnsi="Garamond"/>
                <w:sz w:val="20"/>
                <w:szCs w:val="20"/>
              </w:rPr>
            </w:pPr>
            <w:r>
              <w:rPr>
                <w:rFonts w:ascii="Garamond" w:hAnsi="Garamond"/>
                <w:b/>
                <w:sz w:val="20"/>
                <w:szCs w:val="20"/>
              </w:rPr>
              <w:t>F</w:t>
            </w:r>
            <w:r w:rsidRPr="006256A0">
              <w:rPr>
                <w:rFonts w:ascii="Garamond" w:hAnsi="Garamond"/>
                <w:b/>
                <w:sz w:val="20"/>
                <w:szCs w:val="20"/>
              </w:rPr>
              <w:t>ines and penalties</w:t>
            </w:r>
            <w:r>
              <w:rPr>
                <w:rFonts w:ascii="Garamond" w:hAnsi="Garamond"/>
                <w:b/>
                <w:sz w:val="20"/>
                <w:szCs w:val="20"/>
              </w:rPr>
              <w:t xml:space="preserve">: </w:t>
            </w:r>
            <w:r w:rsidRPr="006256A0">
              <w:rPr>
                <w:rFonts w:ascii="Garamond" w:hAnsi="Garamond"/>
                <w:sz w:val="20"/>
                <w:szCs w:val="20"/>
              </w:rPr>
              <w:t>including when they are applied, and their value.</w:t>
            </w:r>
            <w:r>
              <w:rPr>
                <w:rFonts w:ascii="Garamond" w:hAnsi="Garamond"/>
                <w:b/>
                <w:sz w:val="20"/>
                <w:szCs w:val="20"/>
              </w:rPr>
              <w:t xml:space="preserve"> </w:t>
            </w:r>
          </w:p>
          <w:p w14:paraId="0E9F1F25" w14:textId="23855288" w:rsidR="009956E6" w:rsidRPr="009956E6"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Code of conduct</w:t>
            </w:r>
            <w:r>
              <w:rPr>
                <w:rFonts w:ascii="Garamond" w:hAnsi="Garamond"/>
                <w:b/>
                <w:sz w:val="20"/>
                <w:szCs w:val="20"/>
              </w:rPr>
              <w:t xml:space="preserve">: </w:t>
            </w:r>
            <w:r w:rsidRPr="006256A0">
              <w:rPr>
                <w:rFonts w:ascii="Garamond" w:hAnsi="Garamond"/>
                <w:sz w:val="20"/>
                <w:szCs w:val="20"/>
              </w:rPr>
              <w:t>including working relationships with concessionaires, pe</w:t>
            </w:r>
            <w:r>
              <w:rPr>
                <w:rFonts w:ascii="Garamond" w:hAnsi="Garamond"/>
                <w:sz w:val="20"/>
                <w:szCs w:val="20"/>
              </w:rPr>
              <w:t>rmanent and temporary residents.</w:t>
            </w:r>
          </w:p>
          <w:p w14:paraId="32AFFAD3" w14:textId="77777777" w:rsidR="006256A0" w:rsidRDefault="006256A0" w:rsidP="006256A0">
            <w:pPr>
              <w:spacing w:before="0" w:after="0" w:line="240" w:lineRule="auto"/>
              <w:rPr>
                <w:rFonts w:ascii="Garamond" w:hAnsi="Garamond"/>
                <w:sz w:val="20"/>
                <w:szCs w:val="20"/>
              </w:rPr>
            </w:pPr>
          </w:p>
          <w:p w14:paraId="15B23918" w14:textId="77777777" w:rsidR="006256A0" w:rsidRPr="006256A0" w:rsidRDefault="006256A0" w:rsidP="006256A0">
            <w:pPr>
              <w:spacing w:before="0" w:after="0" w:line="240" w:lineRule="auto"/>
              <w:rPr>
                <w:rFonts w:ascii="Garamond" w:hAnsi="Garamond"/>
                <w:sz w:val="20"/>
                <w:szCs w:val="20"/>
              </w:rPr>
            </w:pPr>
            <w:r w:rsidRPr="006256A0">
              <w:rPr>
                <w:rFonts w:ascii="Garamond" w:hAnsi="Garamond"/>
                <w:sz w:val="20"/>
                <w:szCs w:val="20"/>
              </w:rPr>
              <w:t>Annexes:</w:t>
            </w:r>
          </w:p>
          <w:p w14:paraId="7145125A" w14:textId="630C49E6" w:rsidR="006256A0" w:rsidRPr="00F95CA2" w:rsidRDefault="006256A0" w:rsidP="00F47607">
            <w:pPr>
              <w:numPr>
                <w:ilvl w:val="0"/>
                <w:numId w:val="44"/>
              </w:numPr>
              <w:spacing w:before="0" w:after="0" w:line="240" w:lineRule="auto"/>
              <w:jc w:val="left"/>
              <w:rPr>
                <w:rFonts w:ascii="Garamond" w:hAnsi="Garamond"/>
                <w:sz w:val="20"/>
                <w:szCs w:val="20"/>
              </w:rPr>
            </w:pPr>
            <w:r>
              <w:rPr>
                <w:rFonts w:ascii="Garamond" w:hAnsi="Garamond"/>
                <w:sz w:val="20"/>
                <w:szCs w:val="20"/>
              </w:rPr>
              <w:t>P</w:t>
            </w:r>
            <w:r w:rsidRPr="006256A0">
              <w:rPr>
                <w:rFonts w:ascii="Garamond" w:hAnsi="Garamond"/>
                <w:sz w:val="20"/>
                <w:szCs w:val="20"/>
              </w:rPr>
              <w:t>olicies and regulations</w:t>
            </w:r>
            <w:r>
              <w:rPr>
                <w:rFonts w:ascii="Garamond" w:hAnsi="Garamond"/>
                <w:sz w:val="20"/>
                <w:szCs w:val="20"/>
              </w:rPr>
              <w:t xml:space="preserve"> relating to relevant TFCAs, protected areas, and non-protected land. </w:t>
            </w:r>
            <w:r w:rsidR="00F95CA2">
              <w:rPr>
                <w:rFonts w:ascii="Garamond" w:hAnsi="Garamond"/>
                <w:sz w:val="20"/>
                <w:szCs w:val="20"/>
              </w:rPr>
              <w:t xml:space="preserve">Include Includes Standard Operating Procedures, Service Level Agreements, and trip manifest templates. </w:t>
            </w:r>
          </w:p>
          <w:p w14:paraId="01DDEF39" w14:textId="77777777" w:rsidR="006256A0" w:rsidRPr="006256A0" w:rsidRDefault="006256A0" w:rsidP="00F47607">
            <w:pPr>
              <w:numPr>
                <w:ilvl w:val="0"/>
                <w:numId w:val="43"/>
              </w:numPr>
              <w:spacing w:before="0" w:after="0" w:line="240" w:lineRule="auto"/>
              <w:jc w:val="left"/>
              <w:rPr>
                <w:rFonts w:ascii="Garamond" w:hAnsi="Garamond"/>
                <w:sz w:val="20"/>
                <w:szCs w:val="20"/>
              </w:rPr>
            </w:pPr>
            <w:r w:rsidRPr="006256A0">
              <w:rPr>
                <w:rFonts w:ascii="Garamond" w:hAnsi="Garamond"/>
                <w:sz w:val="20"/>
                <w:szCs w:val="20"/>
              </w:rPr>
              <w:t>Templates for reporting</w:t>
            </w:r>
          </w:p>
          <w:p w14:paraId="160C6775" w14:textId="77777777" w:rsidR="006256A0" w:rsidRDefault="006256A0" w:rsidP="00F47607">
            <w:pPr>
              <w:numPr>
                <w:ilvl w:val="0"/>
                <w:numId w:val="43"/>
              </w:numPr>
              <w:spacing w:before="0" w:after="0" w:line="240" w:lineRule="auto"/>
              <w:jc w:val="left"/>
              <w:rPr>
                <w:rFonts w:ascii="Garamond" w:hAnsi="Garamond"/>
                <w:sz w:val="20"/>
                <w:szCs w:val="20"/>
              </w:rPr>
            </w:pPr>
            <w:r w:rsidRPr="006256A0">
              <w:rPr>
                <w:rFonts w:ascii="Garamond" w:hAnsi="Garamond"/>
                <w:sz w:val="20"/>
                <w:szCs w:val="20"/>
              </w:rPr>
              <w:t>Templates for applications</w:t>
            </w:r>
          </w:p>
          <w:p w14:paraId="3CF1EFE2" w14:textId="74E9AF5E" w:rsidR="006256A0" w:rsidRPr="006256A0" w:rsidRDefault="006256A0" w:rsidP="00F47607">
            <w:pPr>
              <w:numPr>
                <w:ilvl w:val="0"/>
                <w:numId w:val="43"/>
              </w:numPr>
              <w:spacing w:before="0" w:after="0" w:line="240" w:lineRule="auto"/>
              <w:jc w:val="left"/>
              <w:rPr>
                <w:rFonts w:ascii="Garamond" w:hAnsi="Garamond"/>
                <w:sz w:val="20"/>
                <w:szCs w:val="20"/>
              </w:rPr>
            </w:pPr>
            <w:r>
              <w:rPr>
                <w:rFonts w:ascii="Garamond" w:hAnsi="Garamond"/>
                <w:sz w:val="20"/>
                <w:szCs w:val="20"/>
              </w:rPr>
              <w:t>Monitoring tools</w:t>
            </w:r>
          </w:p>
        </w:tc>
      </w:tr>
    </w:tbl>
    <w:p w14:paraId="369458BD" w14:textId="7C525366" w:rsidR="001F17FA" w:rsidRDefault="009956E6" w:rsidP="001F17FA">
      <w:pPr>
        <w:rPr>
          <w:rFonts w:ascii="Garamond" w:hAnsi="Garamond"/>
        </w:rPr>
      </w:pPr>
      <w:r>
        <w:rPr>
          <w:rFonts w:ascii="Garamond" w:hAnsi="Garamond"/>
        </w:rPr>
        <w:t xml:space="preserve">An important element of concession management is monitoring the performance of the concessionaire against the </w:t>
      </w:r>
      <w:r w:rsidR="001F17FA">
        <w:rPr>
          <w:rFonts w:ascii="Garamond" w:hAnsi="Garamond"/>
        </w:rPr>
        <w:t xml:space="preserve">standards and agreements made in the </w:t>
      </w:r>
      <w:r>
        <w:rPr>
          <w:rFonts w:ascii="Garamond" w:hAnsi="Garamond"/>
        </w:rPr>
        <w:t xml:space="preserve">concession agreement. </w:t>
      </w:r>
      <w:r w:rsidR="001F17FA">
        <w:rPr>
          <w:rFonts w:ascii="Garamond" w:hAnsi="Garamond"/>
        </w:rPr>
        <w:t xml:space="preserve">Steps involved </w:t>
      </w:r>
      <w:r>
        <w:rPr>
          <w:rFonts w:ascii="Garamond" w:hAnsi="Garamond"/>
        </w:rPr>
        <w:t xml:space="preserve">in developing a performance monitoring system </w:t>
      </w:r>
      <w:r w:rsidR="001F17FA">
        <w:rPr>
          <w:rFonts w:ascii="Garamond" w:hAnsi="Garamond"/>
        </w:rPr>
        <w:t>include:</w:t>
      </w:r>
      <w:r w:rsidR="001F17FA" w:rsidRPr="006B0F88">
        <w:rPr>
          <w:rStyle w:val="FootnoteReference"/>
          <w:rFonts w:ascii="Garamond" w:hAnsi="Garamond" w:cs="Arial"/>
        </w:rPr>
        <w:t xml:space="preserve"> </w:t>
      </w:r>
      <w:r w:rsidR="001F17FA">
        <w:rPr>
          <w:rStyle w:val="FootnoteReference"/>
          <w:rFonts w:ascii="Garamond" w:hAnsi="Garamond" w:cs="Arial"/>
        </w:rPr>
        <w:footnoteReference w:id="61"/>
      </w:r>
      <w:r w:rsidR="001F17FA" w:rsidRPr="00003942">
        <w:rPr>
          <w:rFonts w:ascii="Garamond" w:hAnsi="Garamond" w:cs="Arial"/>
        </w:rPr>
        <w:t xml:space="preserve"> </w:t>
      </w:r>
      <w:r w:rsidR="001F17FA">
        <w:rPr>
          <w:rFonts w:ascii="Garamond" w:hAnsi="Garamond"/>
        </w:rPr>
        <w:t xml:space="preserve"> </w:t>
      </w:r>
    </w:p>
    <w:p w14:paraId="19DDB8E7" w14:textId="4EE21032" w:rsidR="001F17FA" w:rsidRPr="00ED190D" w:rsidRDefault="001F17FA" w:rsidP="00F47607">
      <w:pPr>
        <w:pStyle w:val="ListParagraph"/>
        <w:numPr>
          <w:ilvl w:val="0"/>
          <w:numId w:val="45"/>
        </w:numPr>
        <w:spacing w:before="0" w:after="0" w:line="240" w:lineRule="auto"/>
        <w:jc w:val="left"/>
        <w:rPr>
          <w:rFonts w:ascii="Garamond" w:hAnsi="Garamond"/>
        </w:rPr>
      </w:pPr>
      <w:r w:rsidRPr="00ED190D">
        <w:rPr>
          <w:rFonts w:ascii="Garamond" w:hAnsi="Garamond"/>
        </w:rPr>
        <w:t>Baseline level of performance that meets the s</w:t>
      </w:r>
      <w:r>
        <w:rPr>
          <w:rFonts w:ascii="Garamond" w:hAnsi="Garamond"/>
        </w:rPr>
        <w:t>ervice delivery specifications</w:t>
      </w:r>
      <w:r w:rsidR="009956E6">
        <w:rPr>
          <w:rFonts w:ascii="Garamond" w:hAnsi="Garamond"/>
        </w:rPr>
        <w:t>, financial, environmental and social obligations;</w:t>
      </w:r>
    </w:p>
    <w:p w14:paraId="6A0B3C93" w14:textId="5151EC46" w:rsidR="001F17FA" w:rsidRPr="00ED190D" w:rsidRDefault="009956E6" w:rsidP="00F47607">
      <w:pPr>
        <w:pStyle w:val="ListParagraph"/>
        <w:numPr>
          <w:ilvl w:val="0"/>
          <w:numId w:val="45"/>
        </w:numPr>
        <w:spacing w:before="0" w:after="0" w:line="240" w:lineRule="auto"/>
        <w:jc w:val="left"/>
        <w:rPr>
          <w:rFonts w:ascii="Garamond" w:hAnsi="Garamond"/>
        </w:rPr>
      </w:pPr>
      <w:r>
        <w:rPr>
          <w:rFonts w:ascii="Garamond" w:hAnsi="Garamond"/>
        </w:rPr>
        <w:t>Performance monitoring system;</w:t>
      </w:r>
      <w:r w:rsidR="001F17FA" w:rsidRPr="00ED190D">
        <w:rPr>
          <w:rFonts w:ascii="Garamond" w:hAnsi="Garamond"/>
        </w:rPr>
        <w:t xml:space="preserve"> </w:t>
      </w:r>
      <w:r w:rsidR="001F17FA" w:rsidRPr="00ED190D">
        <w:rPr>
          <w:rFonts w:ascii="Garamond" w:hAnsi="Garamond" w:cs="Arial"/>
        </w:rPr>
        <w:t xml:space="preserve"> </w:t>
      </w:r>
    </w:p>
    <w:p w14:paraId="221AC5D7" w14:textId="48E51DDD" w:rsidR="009956E6" w:rsidRDefault="001F17FA" w:rsidP="00F47607">
      <w:pPr>
        <w:pStyle w:val="ListParagraph"/>
        <w:numPr>
          <w:ilvl w:val="0"/>
          <w:numId w:val="45"/>
        </w:numPr>
        <w:spacing w:before="0" w:after="0" w:line="240" w:lineRule="auto"/>
        <w:jc w:val="left"/>
        <w:rPr>
          <w:rFonts w:ascii="Garamond" w:hAnsi="Garamond"/>
        </w:rPr>
      </w:pPr>
      <w:r w:rsidRPr="00ED190D">
        <w:rPr>
          <w:rFonts w:ascii="Garamond" w:hAnsi="Garamond"/>
        </w:rPr>
        <w:t>Penalties associated with no</w:t>
      </w:r>
      <w:r>
        <w:rPr>
          <w:rFonts w:ascii="Garamond" w:hAnsi="Garamond"/>
        </w:rPr>
        <w:t>t meeting baseline requirement</w:t>
      </w:r>
      <w:r w:rsidR="009956E6">
        <w:rPr>
          <w:rFonts w:ascii="Garamond" w:hAnsi="Garamond"/>
        </w:rPr>
        <w:t>s, in line with the contract; and</w:t>
      </w:r>
    </w:p>
    <w:p w14:paraId="2AC54AA7" w14:textId="61602F5C" w:rsidR="001F17FA" w:rsidRPr="00687B78" w:rsidRDefault="009956E6" w:rsidP="00F47607">
      <w:pPr>
        <w:pStyle w:val="ListParagraph"/>
        <w:numPr>
          <w:ilvl w:val="0"/>
          <w:numId w:val="45"/>
        </w:numPr>
        <w:spacing w:before="0" w:after="0" w:line="240" w:lineRule="auto"/>
        <w:jc w:val="left"/>
        <w:rPr>
          <w:rFonts w:ascii="Garamond" w:hAnsi="Garamond"/>
        </w:rPr>
      </w:pPr>
      <w:r>
        <w:rPr>
          <w:rFonts w:ascii="Garamond" w:hAnsi="Garamond"/>
        </w:rPr>
        <w:lastRenderedPageBreak/>
        <w:t>Periodic r</w:t>
      </w:r>
      <w:r w:rsidR="001F17FA" w:rsidRPr="009956E6">
        <w:rPr>
          <w:rFonts w:ascii="Garamond" w:hAnsi="Garamond"/>
        </w:rPr>
        <w:t>eview of performance monitoring and taking corrective action</w:t>
      </w:r>
      <w:r>
        <w:rPr>
          <w:rFonts w:ascii="Garamond" w:hAnsi="Garamond"/>
        </w:rPr>
        <w:t>.</w:t>
      </w:r>
    </w:p>
    <w:p w14:paraId="4608AFF8" w14:textId="77777777" w:rsidR="00933DC3" w:rsidRPr="0024756C" w:rsidRDefault="00933DC3" w:rsidP="0024756C">
      <w:pPr>
        <w:spacing w:before="0" w:after="0" w:line="240" w:lineRule="auto"/>
        <w:jc w:val="left"/>
        <w:rPr>
          <w:rFonts w:ascii="Garamond" w:hAnsi="Garamond" w:cs="Times"/>
        </w:rPr>
      </w:pPr>
    </w:p>
    <w:p w14:paraId="2F45BAA6" w14:textId="4B510949" w:rsidR="00C00F2B" w:rsidRPr="00687B78" w:rsidRDefault="00C00F2B" w:rsidP="00687B78">
      <w:pPr>
        <w:spacing w:before="0" w:after="0" w:line="240" w:lineRule="auto"/>
        <w:rPr>
          <w:rFonts w:ascii="Garamond" w:hAnsi="Garamond"/>
        </w:rPr>
      </w:pPr>
      <w:r>
        <w:rPr>
          <w:rFonts w:ascii="Garamond" w:hAnsi="Garamond"/>
          <w:noProof/>
        </w:rPr>
        <w:drawing>
          <wp:inline distT="0" distB="0" distL="0" distR="0" wp14:anchorId="5353C65F" wp14:editId="3BF279D4">
            <wp:extent cx="2254250" cy="660400"/>
            <wp:effectExtent l="50800" t="25400" r="0" b="7620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11642EE" w14:textId="77777777" w:rsidR="00C00F2B" w:rsidRPr="00933DC3" w:rsidRDefault="00C00F2B" w:rsidP="00933DC3">
      <w:pPr>
        <w:pStyle w:val="ListParagraph"/>
        <w:spacing w:before="0" w:after="0" w:line="240" w:lineRule="auto"/>
        <w:jc w:val="left"/>
        <w:rPr>
          <w:rFonts w:ascii="Garamond" w:hAnsi="Garamond" w:cs="Times"/>
        </w:rPr>
      </w:pPr>
    </w:p>
    <w:p w14:paraId="4F7A1BFD" w14:textId="2B8ADB43" w:rsidR="00EF2F06" w:rsidRDefault="00EF2F06" w:rsidP="00EF2F06">
      <w:pPr>
        <w:pStyle w:val="Heading3"/>
        <w:rPr>
          <w:rFonts w:ascii="Garamond" w:hAnsi="Garamond"/>
        </w:rPr>
      </w:pPr>
      <w:bookmarkStart w:id="73" w:name="_Toc269636349"/>
      <w:r>
        <w:rPr>
          <w:rFonts w:ascii="Garamond" w:hAnsi="Garamond"/>
        </w:rPr>
        <w:t>end of concession and next steps</w:t>
      </w:r>
      <w:bookmarkEnd w:id="73"/>
    </w:p>
    <w:p w14:paraId="53455481" w14:textId="77777777" w:rsidR="0062390B" w:rsidRDefault="0062390B" w:rsidP="0062390B">
      <w:pPr>
        <w:spacing w:before="0" w:after="0" w:line="240" w:lineRule="auto"/>
        <w:rPr>
          <w:rFonts w:ascii="Garamond" w:hAnsi="Garamond"/>
        </w:rPr>
      </w:pPr>
    </w:p>
    <w:p w14:paraId="68EFFEDD" w14:textId="77777777" w:rsidR="0062390B" w:rsidRDefault="0062390B" w:rsidP="0062390B">
      <w:pPr>
        <w:spacing w:before="0" w:after="0" w:line="240" w:lineRule="auto"/>
        <w:rPr>
          <w:rFonts w:ascii="Garamond" w:hAnsi="Garamond"/>
        </w:rPr>
      </w:pPr>
      <w:r>
        <w:rPr>
          <w:rFonts w:ascii="Garamond" w:hAnsi="Garamond"/>
        </w:rPr>
        <w:t xml:space="preserve">At the end of the agreed concession contract period, the type of concession model applied will dictate what takes place. For example: </w:t>
      </w:r>
    </w:p>
    <w:p w14:paraId="5A1147B7" w14:textId="77777777" w:rsidR="0062390B" w:rsidRDefault="0062390B" w:rsidP="0062390B">
      <w:pPr>
        <w:spacing w:before="0" w:after="0" w:line="240" w:lineRule="auto"/>
        <w:rPr>
          <w:rFonts w:ascii="Garamond" w:hAnsi="Garamond"/>
        </w:rPr>
      </w:pPr>
    </w:p>
    <w:p w14:paraId="63F912BE" w14:textId="60389713" w:rsidR="0062390B" w:rsidRPr="00380E88" w:rsidRDefault="0062390B" w:rsidP="00F47607">
      <w:pPr>
        <w:pStyle w:val="ListParagraph"/>
        <w:numPr>
          <w:ilvl w:val="0"/>
          <w:numId w:val="48"/>
        </w:numPr>
        <w:spacing w:before="0" w:after="0" w:line="240" w:lineRule="auto"/>
        <w:jc w:val="left"/>
        <w:rPr>
          <w:rFonts w:ascii="Garamond" w:hAnsi="Garamond"/>
        </w:rPr>
      </w:pPr>
      <w:r w:rsidRPr="00380E88">
        <w:rPr>
          <w:rFonts w:ascii="Garamond" w:hAnsi="Garamond"/>
          <w:b/>
        </w:rPr>
        <w:t xml:space="preserve">Build </w:t>
      </w:r>
      <w:r w:rsidR="0024756C">
        <w:rPr>
          <w:rFonts w:ascii="Garamond" w:hAnsi="Garamond"/>
          <w:b/>
        </w:rPr>
        <w:t xml:space="preserve">(or Rehabilitate) </w:t>
      </w:r>
      <w:r w:rsidRPr="00380E88">
        <w:rPr>
          <w:rFonts w:ascii="Garamond" w:hAnsi="Garamond"/>
          <w:b/>
        </w:rPr>
        <w:t>Operate Transfer:</w:t>
      </w:r>
      <w:r w:rsidRPr="00380E88">
        <w:rPr>
          <w:rFonts w:ascii="Garamond" w:hAnsi="Garamond"/>
        </w:rPr>
        <w:t xml:space="preserve"> Infrastructure ownership would revert to the authority (or other party, as outlined in the contract).  Inspections of the quality of the infrastructure would take place to ensure that they were </w:t>
      </w:r>
      <w:r w:rsidR="00B45243">
        <w:rPr>
          <w:rFonts w:ascii="Garamond" w:hAnsi="Garamond"/>
        </w:rPr>
        <w:t>of adequate</w:t>
      </w:r>
      <w:r w:rsidRPr="00380E88">
        <w:rPr>
          <w:rFonts w:ascii="Garamond" w:hAnsi="Garamond"/>
        </w:rPr>
        <w:t xml:space="preserve"> quality. </w:t>
      </w:r>
    </w:p>
    <w:p w14:paraId="6550E600" w14:textId="77777777" w:rsidR="0062390B" w:rsidRDefault="0062390B" w:rsidP="00F47607">
      <w:pPr>
        <w:pStyle w:val="ListParagraph"/>
        <w:numPr>
          <w:ilvl w:val="0"/>
          <w:numId w:val="48"/>
        </w:numPr>
        <w:spacing w:before="0" w:after="0" w:line="240" w:lineRule="auto"/>
        <w:jc w:val="left"/>
        <w:rPr>
          <w:rFonts w:ascii="Garamond" w:hAnsi="Garamond"/>
        </w:rPr>
      </w:pPr>
      <w:r w:rsidRPr="00380E88">
        <w:rPr>
          <w:rFonts w:ascii="Garamond" w:hAnsi="Garamond"/>
          <w:b/>
        </w:rPr>
        <w:t>Compensation for capital improvements:</w:t>
      </w:r>
      <w:r w:rsidRPr="00380E88">
        <w:rPr>
          <w:rFonts w:ascii="Garamond" w:hAnsi="Garamond"/>
        </w:rPr>
        <w:t xml:space="preserve"> The amount compensated depends on the initial value of the structure, adjusted according to the increase or decrease in the Consumer Price Index and less the amount of depreciation of the structure (i.e., the condition and serviceability in comparison with a new unit of the same kind). </w:t>
      </w:r>
      <w:r>
        <w:rPr>
          <w:rStyle w:val="FootnoteReference"/>
          <w:rFonts w:ascii="Garamond" w:hAnsi="Garamond"/>
        </w:rPr>
        <w:footnoteReference w:id="62"/>
      </w:r>
    </w:p>
    <w:p w14:paraId="4AFF0D03" w14:textId="77777777" w:rsidR="0062390B" w:rsidRDefault="0062390B" w:rsidP="0062390B">
      <w:pPr>
        <w:spacing w:before="0" w:after="0" w:line="240" w:lineRule="auto"/>
        <w:rPr>
          <w:rFonts w:ascii="Garamond" w:hAnsi="Garamond"/>
          <w:b/>
        </w:rPr>
      </w:pPr>
    </w:p>
    <w:p w14:paraId="35A3063B" w14:textId="6FD59FA6" w:rsidR="0062390B" w:rsidRPr="003F1A59" w:rsidRDefault="0062390B" w:rsidP="0062390B">
      <w:pPr>
        <w:spacing w:before="0" w:after="0" w:line="240" w:lineRule="auto"/>
        <w:rPr>
          <w:rFonts w:ascii="Garamond" w:hAnsi="Garamond"/>
        </w:rPr>
      </w:pPr>
      <w:r w:rsidRPr="003F1A59">
        <w:rPr>
          <w:rFonts w:ascii="Garamond" w:hAnsi="Garamond"/>
        </w:rPr>
        <w:t xml:space="preserve">Termination of a concession </w:t>
      </w:r>
      <w:r w:rsidR="00B45243">
        <w:rPr>
          <w:rFonts w:ascii="Garamond" w:hAnsi="Garamond"/>
        </w:rPr>
        <w:t xml:space="preserve">before the end of the contract period </w:t>
      </w:r>
      <w:r w:rsidRPr="003F1A59">
        <w:rPr>
          <w:rFonts w:ascii="Garamond" w:hAnsi="Garamond"/>
        </w:rPr>
        <w:t xml:space="preserve">may </w:t>
      </w:r>
      <w:r w:rsidR="00B45243">
        <w:rPr>
          <w:rFonts w:ascii="Garamond" w:hAnsi="Garamond"/>
        </w:rPr>
        <w:t xml:space="preserve">also </w:t>
      </w:r>
      <w:r w:rsidRPr="003F1A59">
        <w:rPr>
          <w:rFonts w:ascii="Garamond" w:hAnsi="Garamond"/>
        </w:rPr>
        <w:t>take place</w:t>
      </w:r>
      <w:r w:rsidR="00B45243">
        <w:rPr>
          <w:rFonts w:ascii="Garamond" w:hAnsi="Garamond"/>
        </w:rPr>
        <w:t>, for example if</w:t>
      </w:r>
      <w:r w:rsidRPr="003F1A59">
        <w:rPr>
          <w:rFonts w:ascii="Garamond" w:hAnsi="Garamond"/>
        </w:rPr>
        <w:t>:</w:t>
      </w:r>
      <w:r w:rsidRPr="003F1A59">
        <w:rPr>
          <w:rStyle w:val="FootnoteReference"/>
          <w:rFonts w:ascii="Garamond" w:hAnsi="Garamond"/>
        </w:rPr>
        <w:footnoteReference w:id="63"/>
      </w:r>
    </w:p>
    <w:p w14:paraId="4A32CC9D" w14:textId="77777777" w:rsidR="0062390B" w:rsidRDefault="0062390B" w:rsidP="0062390B">
      <w:pPr>
        <w:spacing w:before="0" w:after="0" w:line="240" w:lineRule="auto"/>
        <w:rPr>
          <w:rFonts w:ascii="Garamond" w:hAnsi="Garamond"/>
          <w:b/>
        </w:rPr>
      </w:pPr>
    </w:p>
    <w:p w14:paraId="19E0924E" w14:textId="3D762197" w:rsidR="0062390B" w:rsidRPr="00A55F11" w:rsidRDefault="0062390B" w:rsidP="00F47607">
      <w:pPr>
        <w:pStyle w:val="ListParagraph"/>
        <w:numPr>
          <w:ilvl w:val="0"/>
          <w:numId w:val="47"/>
        </w:numPr>
        <w:spacing w:before="0" w:after="0" w:line="240" w:lineRule="auto"/>
        <w:jc w:val="left"/>
        <w:rPr>
          <w:rFonts w:ascii="Garamond" w:hAnsi="Garamond" w:cs="Times"/>
        </w:rPr>
      </w:pPr>
      <w:r w:rsidRPr="00A55F11">
        <w:rPr>
          <w:rFonts w:ascii="Garamond" w:hAnsi="Garamond"/>
        </w:rPr>
        <w:t>the concessionaire commences vo</w:t>
      </w:r>
      <w:r w:rsidR="00B45243">
        <w:rPr>
          <w:rFonts w:ascii="Garamond" w:hAnsi="Garamond"/>
        </w:rPr>
        <w:t>luntary liquidation proceedings;</w:t>
      </w:r>
    </w:p>
    <w:p w14:paraId="57598A0F" w14:textId="540FA4A5" w:rsidR="0062390B" w:rsidRPr="00A55F11" w:rsidRDefault="0062390B" w:rsidP="00F47607">
      <w:pPr>
        <w:pStyle w:val="ListParagraph"/>
        <w:numPr>
          <w:ilvl w:val="0"/>
          <w:numId w:val="47"/>
        </w:numPr>
        <w:spacing w:before="0" w:after="0" w:line="240" w:lineRule="auto"/>
        <w:jc w:val="left"/>
        <w:rPr>
          <w:rFonts w:ascii="Garamond" w:hAnsi="Garamond" w:cs="Times"/>
        </w:rPr>
      </w:pPr>
      <w:r w:rsidRPr="00A55F11">
        <w:rPr>
          <w:rFonts w:ascii="Garamond" w:hAnsi="Garamond"/>
        </w:rPr>
        <w:t xml:space="preserve">the concessionaire fails to report any material related party transactions, or if any material related party transaction is in breach of a term of the concession contract and which leads to material damage </w:t>
      </w:r>
      <w:r w:rsidR="00B45243">
        <w:rPr>
          <w:rFonts w:ascii="Garamond" w:hAnsi="Garamond"/>
        </w:rPr>
        <w:t>to the protected area authority;</w:t>
      </w:r>
    </w:p>
    <w:p w14:paraId="2112457B" w14:textId="72DF8242" w:rsidR="0062390B" w:rsidRPr="00A55F11" w:rsidRDefault="0062390B" w:rsidP="00F47607">
      <w:pPr>
        <w:pStyle w:val="ListParagraph"/>
        <w:numPr>
          <w:ilvl w:val="0"/>
          <w:numId w:val="47"/>
        </w:numPr>
        <w:spacing w:before="0" w:after="0" w:line="240" w:lineRule="auto"/>
        <w:jc w:val="left"/>
        <w:rPr>
          <w:rFonts w:ascii="Garamond" w:hAnsi="Garamond" w:cs="Times"/>
        </w:rPr>
      </w:pPr>
      <w:r w:rsidRPr="00A55F11">
        <w:rPr>
          <w:rFonts w:ascii="Garamond" w:hAnsi="Garamond"/>
        </w:rPr>
        <w:t>the concessionaire commits a material br</w:t>
      </w:r>
      <w:r w:rsidR="00B45243">
        <w:rPr>
          <w:rFonts w:ascii="Garamond" w:hAnsi="Garamond"/>
        </w:rPr>
        <w:t>each of the concession contract;</w:t>
      </w:r>
    </w:p>
    <w:p w14:paraId="550045F7" w14:textId="121DD3BC" w:rsidR="0062390B" w:rsidRPr="00A55F11" w:rsidRDefault="0062390B" w:rsidP="00F47607">
      <w:pPr>
        <w:pStyle w:val="ListParagraph"/>
        <w:numPr>
          <w:ilvl w:val="0"/>
          <w:numId w:val="47"/>
        </w:numPr>
        <w:spacing w:before="0" w:after="0" w:line="240" w:lineRule="auto"/>
        <w:jc w:val="left"/>
        <w:rPr>
          <w:rFonts w:ascii="Garamond" w:hAnsi="Garamond" w:cs="Times"/>
        </w:rPr>
      </w:pPr>
      <w:r w:rsidRPr="00A55F11">
        <w:rPr>
          <w:rFonts w:ascii="Garamond" w:hAnsi="Garamond"/>
        </w:rPr>
        <w:t xml:space="preserve">the concessionaire (or any of its officers or directors) is found guilty of a crime involving fraud or dishonesty and </w:t>
      </w:r>
      <w:r w:rsidR="00B45243">
        <w:rPr>
          <w:rFonts w:ascii="Garamond" w:hAnsi="Garamond"/>
        </w:rPr>
        <w:t>is sentenced to a jail sentence; or</w:t>
      </w:r>
    </w:p>
    <w:p w14:paraId="0688FD1C" w14:textId="77777777" w:rsidR="0062390B" w:rsidRPr="00A55F11" w:rsidRDefault="0062390B" w:rsidP="00F47607">
      <w:pPr>
        <w:pStyle w:val="ListParagraph"/>
        <w:numPr>
          <w:ilvl w:val="0"/>
          <w:numId w:val="47"/>
        </w:numPr>
        <w:spacing w:before="0" w:after="0" w:line="240" w:lineRule="auto"/>
        <w:jc w:val="left"/>
        <w:rPr>
          <w:rFonts w:ascii="Garamond" w:hAnsi="Garamond" w:cs="Times"/>
        </w:rPr>
      </w:pPr>
      <w:r w:rsidRPr="00A55F11">
        <w:rPr>
          <w:rFonts w:ascii="Garamond" w:hAnsi="Garamond"/>
        </w:rPr>
        <w:t>the books of account of the concessionaire are found, on more than one occasion to have been falsified or published in such a manner as to reflect a position that is materially different to the true financial position of the concessionaire.</w:t>
      </w:r>
    </w:p>
    <w:p w14:paraId="5062CF9F" w14:textId="77777777" w:rsidR="0062390B" w:rsidRDefault="0062390B" w:rsidP="0062390B">
      <w:pPr>
        <w:spacing w:before="0" w:after="0" w:line="240" w:lineRule="auto"/>
        <w:rPr>
          <w:rFonts w:ascii="Garamond" w:hAnsi="Garamond" w:cs="Times"/>
        </w:rPr>
      </w:pPr>
    </w:p>
    <w:p w14:paraId="5F3F07A0" w14:textId="36D05A46" w:rsidR="0062390B" w:rsidRPr="00B45243" w:rsidRDefault="0062390B" w:rsidP="0062390B">
      <w:pPr>
        <w:spacing w:before="0" w:after="0" w:line="240" w:lineRule="auto"/>
        <w:rPr>
          <w:rFonts w:ascii="Garamond" w:hAnsi="Garamond"/>
        </w:rPr>
      </w:pPr>
      <w:r w:rsidRPr="003F1A59">
        <w:rPr>
          <w:rFonts w:ascii="Garamond" w:hAnsi="Garamond"/>
        </w:rPr>
        <w:t>Termin</w:t>
      </w:r>
      <w:r>
        <w:rPr>
          <w:rFonts w:ascii="Garamond" w:hAnsi="Garamond"/>
        </w:rPr>
        <w:t>ation of the concession c</w:t>
      </w:r>
      <w:r w:rsidRPr="003F1A59">
        <w:rPr>
          <w:rFonts w:ascii="Garamond" w:hAnsi="Garamond"/>
        </w:rPr>
        <w:t xml:space="preserve">ontract </w:t>
      </w:r>
      <w:r>
        <w:rPr>
          <w:rFonts w:ascii="Garamond" w:hAnsi="Garamond"/>
        </w:rPr>
        <w:t>should</w:t>
      </w:r>
      <w:r w:rsidRPr="003F1A59">
        <w:rPr>
          <w:rFonts w:ascii="Garamond" w:hAnsi="Garamond"/>
        </w:rPr>
        <w:t xml:space="preserve"> only take place with the approval of the </w:t>
      </w:r>
      <w:r>
        <w:rPr>
          <w:rFonts w:ascii="Garamond" w:hAnsi="Garamond"/>
        </w:rPr>
        <w:t>head of the contracting authority.</w:t>
      </w:r>
      <w:r w:rsidRPr="003F1A59">
        <w:rPr>
          <w:rFonts w:ascii="Garamond" w:hAnsi="Garamond"/>
        </w:rPr>
        <w:t xml:space="preserve"> </w:t>
      </w:r>
      <w:r w:rsidR="00B45243">
        <w:rPr>
          <w:rFonts w:ascii="Garamond" w:hAnsi="Garamond"/>
        </w:rPr>
        <w:t xml:space="preserve"> </w:t>
      </w:r>
      <w:r>
        <w:rPr>
          <w:rFonts w:ascii="Garamond" w:hAnsi="Garamond"/>
        </w:rPr>
        <w:t xml:space="preserve">To protect against this type of </w:t>
      </w:r>
      <w:r w:rsidRPr="006E3379">
        <w:rPr>
          <w:rFonts w:ascii="Garamond" w:hAnsi="Garamond"/>
        </w:rPr>
        <w:t xml:space="preserve">collapse of the </w:t>
      </w:r>
      <w:r>
        <w:rPr>
          <w:rFonts w:ascii="Garamond" w:hAnsi="Garamond"/>
        </w:rPr>
        <w:t>concession contract</w:t>
      </w:r>
      <w:r w:rsidRPr="006E3379">
        <w:rPr>
          <w:rFonts w:ascii="Garamond" w:hAnsi="Garamond"/>
        </w:rPr>
        <w:t>, concession projects should be structured so that any assets would revert to the Government and the protected area authority is in a position to engage an alternative service provider.</w:t>
      </w:r>
      <w:r w:rsidRPr="006E3379">
        <w:rPr>
          <w:rStyle w:val="FootnoteReference"/>
          <w:rFonts w:ascii="Garamond" w:hAnsi="Garamond"/>
        </w:rPr>
        <w:t xml:space="preserve"> </w:t>
      </w:r>
      <w:r>
        <w:rPr>
          <w:rStyle w:val="FootnoteReference"/>
          <w:rFonts w:ascii="Garamond" w:hAnsi="Garamond"/>
        </w:rPr>
        <w:footnoteReference w:id="64"/>
      </w:r>
    </w:p>
    <w:p w14:paraId="195140E0" w14:textId="2AF9DCA6" w:rsidR="00B45243" w:rsidRDefault="00B45243" w:rsidP="00B45243">
      <w:pPr>
        <w:rPr>
          <w:rFonts w:ascii="Garamond" w:hAnsi="Garamond"/>
        </w:rPr>
      </w:pPr>
      <w:r w:rsidRPr="004F78D0">
        <w:rPr>
          <w:rFonts w:ascii="Garamond" w:hAnsi="Garamond"/>
        </w:rPr>
        <w:t xml:space="preserve">Options for next steps </w:t>
      </w:r>
      <w:r>
        <w:rPr>
          <w:rFonts w:ascii="Garamond" w:hAnsi="Garamond"/>
        </w:rPr>
        <w:t>can include:</w:t>
      </w:r>
    </w:p>
    <w:p w14:paraId="5D329B54" w14:textId="45770A70" w:rsidR="00B45243" w:rsidRPr="004F78D0" w:rsidRDefault="00B45243" w:rsidP="00F47607">
      <w:pPr>
        <w:pStyle w:val="ListParagraph"/>
        <w:numPr>
          <w:ilvl w:val="0"/>
          <w:numId w:val="49"/>
        </w:numPr>
        <w:spacing w:before="0" w:after="0" w:line="240" w:lineRule="auto"/>
        <w:jc w:val="left"/>
        <w:rPr>
          <w:rFonts w:ascii="Garamond" w:hAnsi="Garamond"/>
        </w:rPr>
      </w:pPr>
      <w:r w:rsidRPr="004F78D0">
        <w:rPr>
          <w:rFonts w:ascii="Garamond" w:hAnsi="Garamond"/>
        </w:rPr>
        <w:t xml:space="preserve">Initiate a new concession procurement process (i.e. </w:t>
      </w:r>
      <w:r>
        <w:rPr>
          <w:rFonts w:ascii="Garamond" w:hAnsi="Garamond"/>
        </w:rPr>
        <w:t>start again with Step</w:t>
      </w:r>
      <w:r w:rsidRPr="004F78D0">
        <w:rPr>
          <w:rFonts w:ascii="Garamond" w:hAnsi="Garamond"/>
        </w:rPr>
        <w:t xml:space="preserve"> 1)</w:t>
      </w:r>
    </w:p>
    <w:p w14:paraId="3CA48DE8" w14:textId="58CD2C8E" w:rsidR="00B45243" w:rsidRDefault="00B45243" w:rsidP="00F47607">
      <w:pPr>
        <w:pStyle w:val="ListParagraph"/>
        <w:numPr>
          <w:ilvl w:val="0"/>
          <w:numId w:val="49"/>
        </w:numPr>
        <w:spacing w:before="0" w:after="0" w:line="240" w:lineRule="auto"/>
        <w:jc w:val="left"/>
        <w:rPr>
          <w:rFonts w:ascii="Garamond" w:hAnsi="Garamond"/>
        </w:rPr>
      </w:pPr>
      <w:r w:rsidRPr="004F78D0">
        <w:rPr>
          <w:rFonts w:ascii="Garamond" w:hAnsi="Garamond"/>
        </w:rPr>
        <w:t>Negotiate with the existing concessionaire to renew their contract (unle</w:t>
      </w:r>
      <w:r>
        <w:rPr>
          <w:rFonts w:ascii="Garamond" w:hAnsi="Garamond"/>
        </w:rPr>
        <w:t xml:space="preserve">ss the contract was terminated). </w:t>
      </w:r>
    </w:p>
    <w:p w14:paraId="4E92A013" w14:textId="6A13D596" w:rsidR="00B45243" w:rsidRDefault="00B45243" w:rsidP="00F47607">
      <w:pPr>
        <w:pStyle w:val="ListParagraph"/>
        <w:numPr>
          <w:ilvl w:val="0"/>
          <w:numId w:val="49"/>
        </w:numPr>
        <w:spacing w:before="0" w:after="0" w:line="240" w:lineRule="auto"/>
        <w:jc w:val="left"/>
        <w:rPr>
          <w:rFonts w:ascii="Garamond" w:hAnsi="Garamond"/>
        </w:rPr>
      </w:pPr>
      <w:r>
        <w:rPr>
          <w:rFonts w:ascii="Garamond" w:hAnsi="Garamond"/>
        </w:rPr>
        <w:t xml:space="preserve">Negotiate with the reserve bidder to take over the concession. </w:t>
      </w:r>
    </w:p>
    <w:p w14:paraId="5F2F31F4" w14:textId="6D3A82E3" w:rsidR="00C00F2B" w:rsidRPr="00687B78" w:rsidRDefault="00B45243" w:rsidP="00F47607">
      <w:pPr>
        <w:pStyle w:val="ListParagraph"/>
        <w:numPr>
          <w:ilvl w:val="0"/>
          <w:numId w:val="49"/>
        </w:numPr>
        <w:spacing w:before="0" w:after="0" w:line="240" w:lineRule="auto"/>
        <w:jc w:val="left"/>
        <w:rPr>
          <w:rFonts w:ascii="Garamond" w:hAnsi="Garamond"/>
        </w:rPr>
      </w:pPr>
      <w:r>
        <w:rPr>
          <w:rFonts w:ascii="Garamond" w:hAnsi="Garamond"/>
        </w:rPr>
        <w:t xml:space="preserve">Authority takes over responsibility of the management of the assets. </w:t>
      </w:r>
    </w:p>
    <w:p w14:paraId="6BEC9730" w14:textId="2B08973B" w:rsidR="00A7435D" w:rsidRPr="00345DD4" w:rsidRDefault="00C00F2B" w:rsidP="00345DD4">
      <w:pPr>
        <w:spacing w:before="0" w:after="0" w:line="240" w:lineRule="auto"/>
        <w:rPr>
          <w:rFonts w:ascii="Garamond" w:hAnsi="Garamond"/>
        </w:rPr>
      </w:pPr>
      <w:r>
        <w:rPr>
          <w:rFonts w:ascii="Garamond" w:hAnsi="Garamond"/>
          <w:noProof/>
        </w:rPr>
        <w:drawing>
          <wp:inline distT="0" distB="0" distL="0" distR="0" wp14:anchorId="46B018D6" wp14:editId="67D025C9">
            <wp:extent cx="2254250" cy="660400"/>
            <wp:effectExtent l="50800" t="25400" r="0" b="7620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6546E05" w14:textId="4B166B42" w:rsidR="006408C5" w:rsidRPr="006311F5" w:rsidRDefault="00A7435D" w:rsidP="006408C5">
      <w:pPr>
        <w:pStyle w:val="Heading1"/>
        <w:shd w:val="clear" w:color="auto" w:fill="4F6228"/>
        <w:tabs>
          <w:tab w:val="num" w:pos="1090"/>
        </w:tabs>
        <w:spacing w:before="0" w:line="240" w:lineRule="auto"/>
        <w:ind w:left="426"/>
        <w:rPr>
          <w:rFonts w:ascii="Garamond" w:hAnsi="Garamond"/>
          <w:sz w:val="24"/>
          <w:szCs w:val="24"/>
        </w:rPr>
      </w:pPr>
      <w:bookmarkStart w:id="74" w:name="_Toc269636350"/>
      <w:r>
        <w:rPr>
          <w:rFonts w:ascii="Garamond" w:hAnsi="Garamond"/>
          <w:sz w:val="24"/>
          <w:szCs w:val="24"/>
        </w:rPr>
        <w:lastRenderedPageBreak/>
        <w:t>Further reading</w:t>
      </w:r>
      <w:bookmarkEnd w:id="74"/>
    </w:p>
    <w:p w14:paraId="34343AB5" w14:textId="5C5B89F8" w:rsidR="00EA6394" w:rsidRPr="006311F5" w:rsidRDefault="00AD05C7" w:rsidP="009C1E29">
      <w:pPr>
        <w:spacing w:line="240" w:lineRule="auto"/>
        <w:rPr>
          <w:rFonts w:ascii="Garamond" w:hAnsi="Garamond"/>
        </w:rPr>
      </w:pPr>
      <w:r>
        <w:rPr>
          <w:rFonts w:ascii="Garamond" w:hAnsi="Garamond"/>
        </w:rPr>
        <w:t xml:space="preserve">This section provides additional materials to support the guidelines. It includes reference that </w:t>
      </w:r>
      <w:r w:rsidR="00E91655">
        <w:rPr>
          <w:rFonts w:ascii="Garamond" w:hAnsi="Garamond"/>
        </w:rPr>
        <w:t>are</w:t>
      </w:r>
      <w:r>
        <w:rPr>
          <w:rFonts w:ascii="Garamond" w:hAnsi="Garamond"/>
        </w:rPr>
        <w:t xml:space="preserve"> cited in the text, links to further reading on important issues and case study examples. Also provided are a number of templates for concession transaction materials that can be adapted for use in different SADC TFCAs.  </w:t>
      </w:r>
      <w:r w:rsidR="002C51F1">
        <w:rPr>
          <w:rFonts w:ascii="Garamond" w:hAnsi="Garamond"/>
        </w:rPr>
        <w:t xml:space="preserve"> Furthermore, this section provides information on each SADC country’s concession and investment framework.</w:t>
      </w:r>
      <w:r>
        <w:rPr>
          <w:rFonts w:ascii="Garamond" w:hAnsi="Garamond"/>
        </w:rPr>
        <w:t xml:space="preserve"> </w:t>
      </w:r>
      <w:r w:rsidR="002C51F1">
        <w:rPr>
          <w:rFonts w:ascii="Garamond" w:hAnsi="Garamond"/>
        </w:rPr>
        <w:t xml:space="preserve"> The section concludes with an outline of the guideline development process. </w:t>
      </w:r>
    </w:p>
    <w:p w14:paraId="438BD750" w14:textId="1A1F88F6" w:rsidR="009C1E29" w:rsidRPr="006311F5" w:rsidRDefault="00A7435D" w:rsidP="009C1E29">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75" w:name="_Toc269636351"/>
      <w:r>
        <w:rPr>
          <w:rFonts w:ascii="Garamond" w:hAnsi="Garamond"/>
        </w:rPr>
        <w:t>References</w:t>
      </w:r>
      <w:bookmarkEnd w:id="75"/>
    </w:p>
    <w:p w14:paraId="57D0E1AD" w14:textId="77777777" w:rsidR="000128F9" w:rsidRPr="000128F9" w:rsidRDefault="000128F9" w:rsidP="000128F9">
      <w:pPr>
        <w:spacing w:before="0" w:after="100" w:line="240" w:lineRule="auto"/>
        <w:rPr>
          <w:rFonts w:ascii="Garamond" w:hAnsi="Garamond"/>
          <w:sz w:val="20"/>
          <w:szCs w:val="20"/>
        </w:rPr>
      </w:pPr>
    </w:p>
    <w:p w14:paraId="036E9C9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Alberta Tourism, Parks and Recreation (1991) Tourism business planning guide: a guide to assist with the preparation of a business plan,  accessible at </w:t>
      </w:r>
      <w:hyperlink r:id="rId135" w:history="1">
        <w:r w:rsidRPr="000128F9">
          <w:rPr>
            <w:rStyle w:val="Hyperlink"/>
            <w:rFonts w:ascii="Garamond" w:hAnsi="Garamond"/>
            <w:sz w:val="20"/>
            <w:szCs w:val="20"/>
          </w:rPr>
          <w:t>https://www.albertacanada.com/files/albertacanada/2-Business_Planning_Guide.pdf</w:t>
        </w:r>
      </w:hyperlink>
    </w:p>
    <w:p w14:paraId="45791DAC"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Anon (undated) Policy for foreign investment in the Tourism Sector (Mauritius)</w:t>
      </w:r>
    </w:p>
    <w:p w14:paraId="527435C3"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Ashley, Roe and Goodwin (2000:4) Pro-Poor Tourism: Putting Poverty at the Heart of the Tourism Agenda. </w:t>
      </w:r>
      <w:hyperlink r:id="rId136" w:history="1">
        <w:r w:rsidRPr="000128F9">
          <w:rPr>
            <w:rStyle w:val="Hyperlink"/>
            <w:rFonts w:ascii="Garamond" w:hAnsi="Garamond"/>
            <w:sz w:val="20"/>
            <w:szCs w:val="20"/>
          </w:rPr>
          <w:t>http://www.odi.org.uk/sites/odi.org.uk/files/odi-assets/publications-opinion-files/2861.pdf</w:t>
        </w:r>
      </w:hyperlink>
      <w:r w:rsidRPr="000128F9">
        <w:rPr>
          <w:rFonts w:ascii="Garamond" w:hAnsi="Garamond"/>
          <w:sz w:val="20"/>
          <w:szCs w:val="20"/>
        </w:rPr>
        <w:t xml:space="preserve"> </w:t>
      </w:r>
    </w:p>
    <w:p w14:paraId="4F3F515B"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Board of investment (2009) Invest Hotel Scheme (Mauritius)</w:t>
      </w:r>
    </w:p>
    <w:p w14:paraId="4B20EFE4"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Board of Investment (BOI) (undated) Invest in Hospitality and Property development: The Mauritius Advantage</w:t>
      </w:r>
    </w:p>
    <w:p w14:paraId="499FE3E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Buckley, R. (2010). Conservation Tourism. CAB International.</w:t>
      </w:r>
    </w:p>
    <w:p w14:paraId="15F617B7"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Collins, S. (2012) Ponto Chemucane, Maputo Special Reserve: Putting community at the centre? Available at </w:t>
      </w:r>
      <w:hyperlink r:id="rId137" w:history="1">
        <w:r w:rsidRPr="000128F9">
          <w:rPr>
            <w:rStyle w:val="Hyperlink"/>
            <w:rFonts w:ascii="Garamond" w:hAnsi="Garamond"/>
            <w:sz w:val="20"/>
            <w:szCs w:val="20"/>
          </w:rPr>
          <w:t>http://www.slideshare.net/AnnaSpenceley/chemucane-maputo-special-reserve-steve-collins</w:t>
        </w:r>
      </w:hyperlink>
    </w:p>
    <w:p w14:paraId="1CF88D5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CRISIL (2013) Lesotho Tourism Public Private Partnership Contract Management Consulting, Contract management Manual and resources, Volume 2: Contract management training manual</w:t>
      </w:r>
    </w:p>
    <w:p w14:paraId="06521AFF"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Davies, R. (2010) CIA Post completion monitoring, South African National Park (Project ID9907), IFC internal report</w:t>
      </w:r>
    </w:p>
    <w:p w14:paraId="16E24F7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Deloitte (2008) Institutional Research for the TFCA Investment Catalogue, Report to the Department of Environmental Affairs and Tourism</w:t>
      </w:r>
    </w:p>
    <w:p w14:paraId="030ECC1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Eagles, P. F. J., Baycetich, C. M., Chen, X., Dong, L, Halpenny, E., Kwan, P. BBoun, Lenuzzi, J. J., Wang, X., Xiao, Hl, and Zhang, Y. (2009) Guidelines for planning and management of concessions, licenses and permits for tourism in protected areas, Tourism planning and management program, University of Waterloo, Ontario, Canada, 23 April 2009</w:t>
      </w:r>
    </w:p>
    <w:p w14:paraId="69B7611E"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Fearnhead, P. (2003) Commercial tourism concessions: a means of generating income for South African National Parks, Vth World Parks Congress, September 2003, Durban, South Africa, Accessible from http://conservationfinance.org/guide/WPC/WPC_documents/Apps_06_Fearnhead_v1.pdf</w:t>
      </w:r>
    </w:p>
    <w:p w14:paraId="3B15BDE7"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Gray, R. D., Irwin, T., Levesque, C. and Taylor, R. R. (1998) Concessions for infrastructure: a guide to their design and award, World Bank Technical paper no 399. World Bank and Inter-American Development Bank</w:t>
      </w:r>
    </w:p>
    <w:p w14:paraId="4C23170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Grove, A. S. (1996) Only the Paranoid survive, cited in CRISIL (2013) Lesotho Tourism Public Private Partnership Contract Management Consulting, Contract management Manual and resources, Volume 2: Contract management training manual</w:t>
      </w:r>
    </w:p>
    <w:p w14:paraId="7936D4F5"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Hodges, J. T. and Dellacha, G. (2007) Unsolicited infrastructure proposals: how some countries introduce competition and transparency, Public-private infrastructure advisory facility, Working Paper no. 1</w:t>
      </w:r>
    </w:p>
    <w:p w14:paraId="4794B968"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(2007) Stakeholder Engagement: A Good Practice Handbook for Companies Doing Business in Emerging Markets</w:t>
      </w:r>
    </w:p>
    <w:p w14:paraId="2F99B51B"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(2012) IFC Advisory Services: Public private partnerships, CP3 Operational Manual</w:t>
      </w:r>
    </w:p>
    <w:p w14:paraId="36C59CFC"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(2014) Managing environmental and social risks, accessible from http://www.ifc.org/wps/wcm/connect/Topics_Ext_Content/IFC_External_Corporate_Site/IFC+Sustainability/Risk+Management/</w:t>
      </w:r>
    </w:p>
    <w:p w14:paraId="562430A9"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Kerf, M., Gray, R. D., Irwin, T., Levesque, C., and Taylor, R. R. (1998) Concessions for infrastructure: A guide to their design and award, World Bank Technical Paper no. 399, World Bank and Inter-American Development Bank and IFC (2012) IFC Advisory Services: Public private partnerships, CP3 Operational Manual</w:t>
      </w:r>
    </w:p>
    <w:p w14:paraId="456B9750"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Ministry of Environment and Tourism (2007) Policy on tourism and wildlife concessions on state land, Republic of Namibia, accessible from </w:t>
      </w:r>
      <w:r w:rsidRPr="000128F9">
        <w:rPr>
          <w:rFonts w:ascii="Garamond" w:hAnsi="Garamond"/>
          <w:sz w:val="20"/>
          <w:szCs w:val="20"/>
        </w:rPr>
        <w:lastRenderedPageBreak/>
        <w:t>http://www.areasprotegidas.net/sites/default/files/documentos/Namibia%20Tourism%20%26%20Wildlife%20Concessions%20Policy%20(2007).pdf</w:t>
      </w:r>
    </w:p>
    <w:p w14:paraId="4B98C2AF"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Ministry of Environment and Tourism (Undated) Tourism and Wildlife concessions in Namibia’s protected areas, accessible from </w:t>
      </w:r>
      <w:hyperlink r:id="rId138" w:history="1">
        <w:r w:rsidRPr="000128F9">
          <w:rPr>
            <w:rStyle w:val="Hyperlink"/>
            <w:rFonts w:ascii="Garamond" w:hAnsi="Garamond"/>
            <w:sz w:val="20"/>
            <w:szCs w:val="20"/>
          </w:rPr>
          <w:t>http://www.met.gov.na/Documents/Concession%20Policy%20flyer.pdf</w:t>
        </w:r>
      </w:hyperlink>
    </w:p>
    <w:p w14:paraId="3E719F9F"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Ministry of Tourism and Leisure (2011) Policy on investment by non-citizens in the tourist  accommodation (non-hotel) sector (Mauritius)</w:t>
      </w:r>
    </w:p>
    <w:p w14:paraId="28056DC1" w14:textId="77777777" w:rsidR="000128F9" w:rsidRPr="000128F9" w:rsidRDefault="000128F9" w:rsidP="000128F9">
      <w:pPr>
        <w:spacing w:before="0" w:after="100" w:line="240" w:lineRule="auto"/>
        <w:rPr>
          <w:rFonts w:ascii="Garamond" w:eastAsia="Arial Unicode MS" w:hAnsi="Garamond" w:cs="Arial Unicode MS"/>
          <w:sz w:val="20"/>
          <w:szCs w:val="20"/>
        </w:rPr>
      </w:pPr>
      <w:r w:rsidRPr="000128F9">
        <w:rPr>
          <w:rFonts w:ascii="Garamond" w:hAnsi="Garamond" w:cs="Arial"/>
          <w:color w:val="1A1A1A"/>
          <w:sz w:val="20"/>
          <w:szCs w:val="20"/>
        </w:rPr>
        <w:t>Mulonga S (2012) Namibia Tourism Investment Prospectus. Ministry of Environment and Tourism. Windhoek. Namibia</w:t>
      </w:r>
    </w:p>
    <w:p w14:paraId="73505A87" w14:textId="77777777" w:rsidR="000128F9" w:rsidRPr="000128F9" w:rsidRDefault="000128F9" w:rsidP="000128F9">
      <w:pPr>
        <w:spacing w:before="0" w:after="100" w:line="240" w:lineRule="auto"/>
        <w:rPr>
          <w:rFonts w:ascii="Garamond" w:hAnsi="Garamond"/>
          <w:bCs/>
          <w:sz w:val="20"/>
          <w:szCs w:val="20"/>
        </w:rPr>
      </w:pPr>
      <w:r w:rsidRPr="000128F9">
        <w:rPr>
          <w:rFonts w:ascii="Garamond" w:hAnsi="Garamond"/>
          <w:sz w:val="20"/>
          <w:szCs w:val="20"/>
        </w:rPr>
        <w:t>National Treasury (2004) PPP Toolkit for tourism, accessible from http://www.ppp.gov.za/Pages/Governance.aspx?RootFolder=%2fLegal%20Aspects%2fPPP%20Toolkit%20for%20Tourism&amp;FolderCTID=&amp;</w:t>
      </w:r>
    </w:p>
    <w:p w14:paraId="6CADEFF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Pocket Oxford English Dictionary, 2006</w:t>
      </w:r>
    </w:p>
    <w:p w14:paraId="67DAD6FA"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Regional Tourism Organisation of Southern Africa (RETOSA) (2014) Southern Africa Tourism Investment Handbook, 1</w:t>
      </w:r>
      <w:r w:rsidRPr="000128F9">
        <w:rPr>
          <w:rFonts w:ascii="Garamond" w:hAnsi="Garamond" w:cs="Arial"/>
          <w:sz w:val="20"/>
          <w:szCs w:val="20"/>
          <w:vertAlign w:val="superscript"/>
          <w:lang w:val="en-GB"/>
        </w:rPr>
        <w:t>st</w:t>
      </w:r>
      <w:r w:rsidRPr="000128F9">
        <w:rPr>
          <w:rFonts w:ascii="Garamond" w:hAnsi="Garamond" w:cs="Arial"/>
          <w:sz w:val="20"/>
          <w:szCs w:val="20"/>
          <w:lang w:val="en-GB"/>
        </w:rPr>
        <w:t xml:space="preserve"> edition, RETOSA, CDE, SADC</w:t>
      </w:r>
    </w:p>
    <w:p w14:paraId="51761A59"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Snyman, S. (2014) Nedbank Tour de Tuli, Presentation to the GMTFCA Trilateral Techncial Committee on 11 April, 2014, Johannesburg, South Africa.</w:t>
      </w:r>
    </w:p>
    <w:p w14:paraId="3ADDA6E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South Africa: SANParks (2012) Annual report, </w:t>
      </w:r>
      <w:hyperlink r:id="rId139" w:history="1">
        <w:r w:rsidRPr="000128F9">
          <w:rPr>
            <w:rStyle w:val="Hyperlink"/>
            <w:rFonts w:ascii="Garamond" w:hAnsi="Garamond"/>
            <w:sz w:val="20"/>
            <w:szCs w:val="20"/>
          </w:rPr>
          <w:t>http://www.sanparks.org/assets/docs/general/annual-report-2012.pdf</w:t>
        </w:r>
      </w:hyperlink>
      <w:r w:rsidRPr="000128F9">
        <w:rPr>
          <w:rFonts w:ascii="Garamond" w:hAnsi="Garamond"/>
          <w:sz w:val="20"/>
          <w:szCs w:val="20"/>
        </w:rPr>
        <w:t xml:space="preserve">: pp29-30; </w:t>
      </w:r>
    </w:p>
    <w:p w14:paraId="64585B82"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South African National Parks (SANParks) (Undated) Concessions operations manual, Revision 1</w:t>
      </w:r>
    </w:p>
    <w:p w14:paraId="2CBB6C89"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Southern African Development Community (SADC) (1998). Protocol on tourism, accessed from http://www.sadc.int/files/2413/5292/8368/Protocol_on_the_Development_of_Tourism1998.pdf on 5 December 2013</w:t>
      </w:r>
    </w:p>
    <w:p w14:paraId="2D3F833C"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Southern African Development Community (SADC) (1999) Protocol on Wildlife Conservation and Law Enforcement, accessed from  </w:t>
      </w:r>
      <w:hyperlink r:id="rId140" w:history="1">
        <w:r w:rsidRPr="000128F9">
          <w:rPr>
            <w:rStyle w:val="Hyperlink"/>
            <w:rFonts w:ascii="Garamond" w:hAnsi="Garamond"/>
            <w:sz w:val="20"/>
            <w:szCs w:val="20"/>
          </w:rPr>
          <w:t>http://www.sadc.int/documents-publications/show/Protocol%20on%20Wildlife%20Conservation%20and%20Law%20Enforcement%20(1999</w:t>
        </w:r>
      </w:hyperlink>
      <w:r w:rsidRPr="000128F9">
        <w:rPr>
          <w:rFonts w:ascii="Garamond" w:hAnsi="Garamond"/>
          <w:sz w:val="20"/>
          <w:szCs w:val="20"/>
        </w:rPr>
        <w:t>)  on 30 July 2014</w:t>
      </w:r>
    </w:p>
    <w:p w14:paraId="789A68DD"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Spenceley, A. (2003) Tourism, local livelihoods and the private sector in South Africa: case studies on the growing role of the private sector in natural resources management. </w:t>
      </w:r>
      <w:r w:rsidRPr="000128F9">
        <w:rPr>
          <w:rFonts w:ascii="Garamond" w:hAnsi="Garamond"/>
          <w:iCs/>
          <w:sz w:val="20"/>
          <w:szCs w:val="20"/>
        </w:rPr>
        <w:t>Sustainable Livelihoods in Southern Africa Research Paper 8</w:t>
      </w:r>
      <w:r w:rsidRPr="000128F9">
        <w:rPr>
          <w:rFonts w:ascii="Garamond" w:hAnsi="Garamond"/>
          <w:sz w:val="20"/>
          <w:szCs w:val="20"/>
        </w:rPr>
        <w:t>, Institute of Development Studies, Brighton, accessible from http://www.anna.spenceley.co.uk/files/TourismLivelihoods&amp;PrivateSectorSpenceley.pdf , pp51</w:t>
      </w:r>
    </w:p>
    <w:p w14:paraId="56B5DED8"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Spenceley, A., Neville, H., and Souto, M. (In prep) Protected are tourism concessions: A toolkit, Report to the International Finance Corporation </w:t>
      </w:r>
      <w:r w:rsidRPr="000128F9">
        <w:rPr>
          <w:rFonts w:ascii="Garamond" w:hAnsi="Garamond"/>
          <w:sz w:val="20"/>
          <w:szCs w:val="20"/>
          <w:highlight w:val="yellow"/>
        </w:rPr>
        <w:t>(citation will change)</w:t>
      </w:r>
    </w:p>
    <w:p w14:paraId="1A32E85A"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Varghese, G. (2008) Public private partnerships in South African National Parks, in Spenceley, A. (ed) Responsible tourism: critical issues for conservation and development, Earthscan, pp77, </w:t>
      </w:r>
    </w:p>
    <w:p w14:paraId="2E087D0B" w14:textId="77777777" w:rsidR="000128F9" w:rsidRPr="000128F9" w:rsidRDefault="000128F9" w:rsidP="000128F9">
      <w:pPr>
        <w:spacing w:before="0" w:after="100" w:line="240" w:lineRule="auto"/>
        <w:rPr>
          <w:rFonts w:ascii="Garamond" w:hAnsi="Garamond" w:cs="Arial"/>
          <w:sz w:val="20"/>
          <w:szCs w:val="20"/>
        </w:rPr>
      </w:pPr>
      <w:r w:rsidRPr="000128F9">
        <w:rPr>
          <w:rFonts w:ascii="Garamond" w:hAnsi="Garamond" w:cs="Arial"/>
          <w:sz w:val="20"/>
          <w:szCs w:val="20"/>
        </w:rPr>
        <w:t xml:space="preserve">Walton A. Gomei M. and Di Carlo G. (2013) Stakeholder engagement: Participatory Approaches for the Planning and Development of Marine Protected Areas. World Wide Fund for Nature and NOAA— National Marine Sanctuary Program, accessible from </w:t>
      </w:r>
      <w:hyperlink r:id="rId141" w:history="1">
        <w:r w:rsidRPr="000128F9">
          <w:rPr>
            <w:rStyle w:val="Hyperlink"/>
            <w:rFonts w:ascii="Garamond" w:hAnsi="Garamond" w:cs="Arial"/>
            <w:sz w:val="20"/>
            <w:szCs w:val="20"/>
          </w:rPr>
          <w:t>http://awsassets.panda.org/downloads/stakeholder_engagement.pdf</w:t>
        </w:r>
      </w:hyperlink>
    </w:p>
    <w:p w14:paraId="16B1D94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Whyte, R., Perrottet, J., Di Fiori, V., and Neville, H. (2013) Global Investment Promotion Best Practices: Winning tourism investment, World Bank, Available from </w:t>
      </w:r>
      <w:hyperlink r:id="rId142" w:history="1">
        <w:r w:rsidRPr="000128F9">
          <w:rPr>
            <w:rStyle w:val="Hyperlink"/>
            <w:rFonts w:ascii="Garamond" w:hAnsi="Garamond"/>
            <w:sz w:val="20"/>
            <w:szCs w:val="20"/>
          </w:rPr>
          <w:t>https://www.wbginvestmentclimate.org/advisory-services/investment-generation/investment-policy-and-promotion/gipb/upload/Tourism-GIPB-report.pdf</w:t>
        </w:r>
      </w:hyperlink>
      <w:r w:rsidRPr="000128F9">
        <w:rPr>
          <w:rFonts w:ascii="Garamond" w:hAnsi="Garamond"/>
          <w:sz w:val="20"/>
          <w:szCs w:val="20"/>
        </w:rPr>
        <w:t>, pp7</w:t>
      </w:r>
    </w:p>
    <w:p w14:paraId="3FE84650" w14:textId="77777777" w:rsidR="000128F9" w:rsidRPr="000128F9" w:rsidRDefault="000128F9" w:rsidP="000128F9">
      <w:pPr>
        <w:spacing w:before="0" w:after="100" w:line="240" w:lineRule="auto"/>
        <w:rPr>
          <w:rFonts w:ascii="Garamond" w:hAnsi="Garamond" w:cs="Times New Roman"/>
          <w:sz w:val="20"/>
          <w:szCs w:val="20"/>
        </w:rPr>
      </w:pPr>
      <w:r w:rsidRPr="000128F9">
        <w:rPr>
          <w:rFonts w:ascii="Garamond" w:hAnsi="Garamond"/>
          <w:sz w:val="20"/>
          <w:szCs w:val="20"/>
        </w:rPr>
        <w:t xml:space="preserve">Wyman, M., Barborak, J. R., Inamdar, N., and Stein, T. (2011) Best practices for tourism concessions in protected areas: A review of the field, Forests, 2, 913-928, available at </w:t>
      </w:r>
      <w:hyperlink r:id="rId143" w:history="1">
        <w:r w:rsidRPr="000128F9">
          <w:rPr>
            <w:rStyle w:val="Hyperlink"/>
            <w:rFonts w:ascii="Garamond" w:hAnsi="Garamond" w:cs="Times New Roman"/>
            <w:sz w:val="20"/>
            <w:szCs w:val="20"/>
          </w:rPr>
          <w:t>www.mdpi.com/journal/forests</w:t>
        </w:r>
      </w:hyperlink>
    </w:p>
    <w:p w14:paraId="4CDE51A4" w14:textId="77777777" w:rsidR="000128F9" w:rsidRPr="000128F9" w:rsidRDefault="000128F9" w:rsidP="000128F9">
      <w:pPr>
        <w:spacing w:before="0" w:after="100" w:line="240" w:lineRule="auto"/>
        <w:rPr>
          <w:rFonts w:ascii="Garamond" w:hAnsi="Garamond" w:cs="Apple Symbols"/>
          <w:sz w:val="20"/>
          <w:szCs w:val="20"/>
        </w:rPr>
      </w:pPr>
      <w:r w:rsidRPr="000128F9">
        <w:rPr>
          <w:rFonts w:ascii="Garamond" w:hAnsi="Garamond" w:cs="Apple Symbols"/>
          <w:sz w:val="20"/>
          <w:szCs w:val="20"/>
        </w:rPr>
        <w:t>Young, C. and Young, C. (1993) Park planning: A training manual (instructors guide), College of African Wildlife Management, Mweka, Tanzania. Cited in Thomas, L., and Middleton, J. (2003) Guidelines for management planning of protected areas, WCPA Best practice protected area guidelines series no. 10, IUCN, Cardiff University.</w:t>
      </w:r>
    </w:p>
    <w:p w14:paraId="07EECD9C"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Zunkel, K. (In prep) Southern African Development Community Transfrontier Conservation Guidelines: The establishment and development of TFCA initiatives between SADC Member States</w:t>
      </w:r>
    </w:p>
    <w:p w14:paraId="58DD58E5" w14:textId="77777777" w:rsidR="00E010EA" w:rsidRPr="00F15492" w:rsidRDefault="00E010EA" w:rsidP="00A47590">
      <w:pPr>
        <w:spacing w:before="0" w:after="100" w:line="240" w:lineRule="auto"/>
        <w:rPr>
          <w:rFonts w:ascii="Garamond" w:hAnsi="Garamond"/>
          <w:sz w:val="20"/>
          <w:szCs w:val="20"/>
        </w:rPr>
      </w:pPr>
    </w:p>
    <w:p w14:paraId="761C710D" w14:textId="77777777" w:rsidR="003E480C" w:rsidRDefault="003E480C" w:rsidP="003E480C">
      <w:pPr>
        <w:spacing w:before="0" w:after="0" w:line="240" w:lineRule="auto"/>
        <w:rPr>
          <w:rFonts w:ascii="Garamond" w:hAnsi="Garamond"/>
        </w:rPr>
      </w:pPr>
    </w:p>
    <w:p w14:paraId="3C29EA45" w14:textId="3EC8D05A" w:rsidR="003E480C" w:rsidRPr="003E480C" w:rsidRDefault="003E480C" w:rsidP="003E480C">
      <w:pPr>
        <w:spacing w:before="0" w:after="0" w:line="240" w:lineRule="auto"/>
        <w:rPr>
          <w:rFonts w:ascii="Garamond" w:hAnsi="Garamond"/>
          <w:b/>
        </w:rPr>
      </w:pPr>
      <w:r w:rsidRPr="003E480C">
        <w:rPr>
          <w:rFonts w:ascii="Garamond" w:hAnsi="Garamond"/>
          <w:b/>
        </w:rPr>
        <w:t>Weblinks</w:t>
      </w:r>
      <w:r w:rsidR="00E91655">
        <w:rPr>
          <w:rFonts w:ascii="Garamond" w:hAnsi="Garamond"/>
          <w:b/>
        </w:rPr>
        <w:t xml:space="preserve"> cited</w:t>
      </w:r>
    </w:p>
    <w:p w14:paraId="74B88B68" w14:textId="77777777" w:rsidR="003E480C" w:rsidRPr="003E480C" w:rsidRDefault="00500A2A" w:rsidP="003E480C">
      <w:pPr>
        <w:spacing w:before="0" w:after="0" w:line="240" w:lineRule="auto"/>
        <w:rPr>
          <w:rFonts w:ascii="Garamond" w:hAnsi="Garamond"/>
        </w:rPr>
      </w:pPr>
      <w:hyperlink r:id="rId144" w:anchor="how_to_manage" w:history="1">
        <w:r w:rsidR="003E480C" w:rsidRPr="003E480C">
          <w:rPr>
            <w:rStyle w:val="Hyperlink"/>
            <w:rFonts w:ascii="Garamond" w:hAnsi="Garamond"/>
          </w:rPr>
          <w:t>http://ppp.worldbank.org/public-private-partnership/legislation-regulation/laws/ppp-and-concession-laws#how_to_manage</w:t>
        </w:r>
      </w:hyperlink>
    </w:p>
    <w:p w14:paraId="66C91A14" w14:textId="77777777" w:rsidR="003E480C" w:rsidRPr="003E480C" w:rsidRDefault="00500A2A" w:rsidP="003E480C">
      <w:pPr>
        <w:spacing w:before="0" w:after="0" w:line="240" w:lineRule="auto"/>
        <w:rPr>
          <w:rFonts w:ascii="Garamond" w:hAnsi="Garamond"/>
        </w:rPr>
      </w:pPr>
      <w:hyperlink r:id="rId145" w:history="1">
        <w:r w:rsidR="003E480C" w:rsidRPr="003E480C">
          <w:rPr>
            <w:rStyle w:val="Hyperlink"/>
            <w:rFonts w:ascii="Garamond" w:hAnsi="Garamond"/>
          </w:rPr>
          <w:t>http://tourisminvest.org/_manual/manual_workstream_stakeholder-mgt.html</w:t>
        </w:r>
      </w:hyperlink>
    </w:p>
    <w:p w14:paraId="4BFA5080" w14:textId="3147BB60" w:rsidR="003E480C" w:rsidRPr="003E480C" w:rsidRDefault="00500A2A" w:rsidP="003E480C">
      <w:pPr>
        <w:spacing w:before="0" w:after="0" w:line="240" w:lineRule="auto"/>
        <w:rPr>
          <w:rFonts w:ascii="Garamond" w:hAnsi="Garamond"/>
        </w:rPr>
      </w:pPr>
      <w:hyperlink r:id="rId146" w:history="1">
        <w:r w:rsidR="003E480C" w:rsidRPr="003E480C">
          <w:rPr>
            <w:rStyle w:val="Hyperlink"/>
            <w:rFonts w:ascii="Garamond" w:hAnsi="Garamond"/>
          </w:rPr>
          <w:t>http://www.desertknights-mtb.com/tour-overview</w:t>
        </w:r>
      </w:hyperlink>
    </w:p>
    <w:p w14:paraId="2A1BAC4C" w14:textId="6CA92D9C" w:rsidR="003E480C" w:rsidRDefault="00500A2A" w:rsidP="003E480C">
      <w:pPr>
        <w:spacing w:before="0" w:after="0" w:line="240" w:lineRule="auto"/>
        <w:rPr>
          <w:rFonts w:ascii="Garamond" w:hAnsi="Garamond"/>
        </w:rPr>
      </w:pPr>
      <w:hyperlink r:id="rId147" w:history="1">
        <w:r w:rsidR="003E480C" w:rsidRPr="003E480C">
          <w:rPr>
            <w:rStyle w:val="Hyperlink"/>
            <w:rFonts w:ascii="Garamond" w:hAnsi="Garamond"/>
          </w:rPr>
          <w:t>http://www.met.gov.na/SPAN/Pages/Concessions.aspx</w:t>
        </w:r>
      </w:hyperlink>
    </w:p>
    <w:p w14:paraId="1C2B613B" w14:textId="77777777" w:rsidR="003E480C" w:rsidRDefault="003E480C" w:rsidP="003E480C">
      <w:pPr>
        <w:spacing w:before="0" w:after="0" w:line="240" w:lineRule="auto"/>
        <w:rPr>
          <w:rFonts w:ascii="Garamond" w:hAnsi="Garamond"/>
        </w:rPr>
      </w:pPr>
    </w:p>
    <w:p w14:paraId="1C5E4692" w14:textId="77777777" w:rsidR="003E480C" w:rsidRPr="003E480C" w:rsidRDefault="003E480C" w:rsidP="003E480C">
      <w:pPr>
        <w:spacing w:before="0" w:after="0" w:line="240" w:lineRule="auto"/>
        <w:rPr>
          <w:rFonts w:ascii="Garamond" w:hAnsi="Garamond"/>
          <w:b/>
        </w:rPr>
      </w:pPr>
      <w:r w:rsidRPr="003E480C">
        <w:rPr>
          <w:rFonts w:ascii="Garamond" w:hAnsi="Garamond"/>
          <w:b/>
        </w:rPr>
        <w:t>Personal communications</w:t>
      </w:r>
    </w:p>
    <w:p w14:paraId="5EA027D9" w14:textId="1A1682EB" w:rsidR="003E480C" w:rsidRDefault="003E480C" w:rsidP="003E480C">
      <w:pPr>
        <w:spacing w:before="0" w:after="0" w:line="240" w:lineRule="auto"/>
        <w:rPr>
          <w:rFonts w:ascii="Garamond" w:hAnsi="Garamond"/>
        </w:rPr>
      </w:pPr>
      <w:r w:rsidRPr="003E480C">
        <w:rPr>
          <w:rFonts w:ascii="Garamond" w:hAnsi="Garamond"/>
        </w:rPr>
        <w:t>P</w:t>
      </w:r>
      <w:r>
        <w:rPr>
          <w:rFonts w:ascii="Garamond" w:hAnsi="Garamond"/>
        </w:rPr>
        <w:t>ers Com. P. Bewsher, P</w:t>
      </w:r>
      <w:r w:rsidR="00E91655">
        <w:rPr>
          <w:rFonts w:ascii="Garamond" w:hAnsi="Garamond"/>
        </w:rPr>
        <w:t>eace Parks Foundation</w:t>
      </w:r>
      <w:r>
        <w:rPr>
          <w:rFonts w:ascii="Garamond" w:hAnsi="Garamond"/>
        </w:rPr>
        <w:t>, 2014</w:t>
      </w:r>
    </w:p>
    <w:p w14:paraId="5B3E7934" w14:textId="77777777" w:rsidR="003E480C" w:rsidRDefault="003E480C" w:rsidP="003E480C">
      <w:pPr>
        <w:spacing w:before="0" w:after="0" w:line="240" w:lineRule="auto"/>
        <w:rPr>
          <w:rFonts w:ascii="Garamond" w:hAnsi="Garamond"/>
        </w:rPr>
      </w:pPr>
      <w:r w:rsidRPr="003E480C">
        <w:rPr>
          <w:rFonts w:ascii="Garamond" w:hAnsi="Garamond"/>
        </w:rPr>
        <w:t>Pers Com. R. Vorwerk, Boundless Southern Africa, 2014</w:t>
      </w:r>
    </w:p>
    <w:p w14:paraId="6FC66A79" w14:textId="77777777" w:rsidR="003E480C" w:rsidRDefault="003E480C" w:rsidP="003E480C">
      <w:pPr>
        <w:spacing w:before="0" w:after="0" w:line="240" w:lineRule="auto"/>
        <w:rPr>
          <w:rFonts w:ascii="Garamond" w:hAnsi="Garamond"/>
        </w:rPr>
      </w:pPr>
      <w:r w:rsidRPr="003E480C">
        <w:rPr>
          <w:rFonts w:ascii="Garamond" w:hAnsi="Garamond"/>
        </w:rPr>
        <w:t>Pers Com. S. Snyman, Wilderness Safaris/Ch</w:t>
      </w:r>
      <w:r>
        <w:rPr>
          <w:rFonts w:ascii="Garamond" w:hAnsi="Garamond"/>
        </w:rPr>
        <w:t>ildren in the Wilderness, 2014</w:t>
      </w:r>
    </w:p>
    <w:p w14:paraId="517B5CAD" w14:textId="61F67C27" w:rsidR="003E480C" w:rsidRPr="003E480C" w:rsidRDefault="003E480C" w:rsidP="00A47590">
      <w:pPr>
        <w:spacing w:before="0" w:after="0" w:line="240" w:lineRule="auto"/>
        <w:rPr>
          <w:rFonts w:ascii="Garamond" w:hAnsi="Garamond"/>
        </w:rPr>
      </w:pPr>
      <w:r w:rsidRPr="003E480C">
        <w:rPr>
          <w:rFonts w:ascii="Garamond" w:hAnsi="Garamond"/>
        </w:rPr>
        <w:br w:type="page"/>
      </w:r>
    </w:p>
    <w:p w14:paraId="0DB6F0F7" w14:textId="77777777" w:rsidR="003E480C" w:rsidRPr="00EA6394" w:rsidRDefault="003E480C" w:rsidP="00CE20E6">
      <w:pPr>
        <w:spacing w:line="240" w:lineRule="auto"/>
        <w:rPr>
          <w:rFonts w:ascii="Garamond" w:hAnsi="Garamond"/>
          <w:sz w:val="24"/>
          <w:szCs w:val="24"/>
        </w:rPr>
      </w:pPr>
    </w:p>
    <w:p w14:paraId="163FF29B" w14:textId="49687CD7" w:rsidR="007250DC" w:rsidRPr="007250DC" w:rsidRDefault="00A7435D" w:rsidP="007250DC">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76" w:name="_Toc269636352"/>
      <w:r>
        <w:rPr>
          <w:rFonts w:ascii="Garamond" w:hAnsi="Garamond"/>
        </w:rPr>
        <w:t>Links</w:t>
      </w:r>
      <w:bookmarkEnd w:id="76"/>
    </w:p>
    <w:p w14:paraId="27EC1589" w14:textId="77777777" w:rsidR="00E91655" w:rsidRDefault="00E91655" w:rsidP="007250DC">
      <w:pPr>
        <w:spacing w:before="0" w:after="0" w:line="240" w:lineRule="auto"/>
        <w:rPr>
          <w:rFonts w:ascii="Garamond" w:hAnsi="Garamond"/>
          <w:b/>
          <w:sz w:val="20"/>
          <w:szCs w:val="20"/>
        </w:rPr>
      </w:pPr>
    </w:p>
    <w:p w14:paraId="2703036F" w14:textId="2F4B26DC" w:rsidR="00E91655" w:rsidRPr="00E91655" w:rsidRDefault="00E91655" w:rsidP="007250DC">
      <w:pPr>
        <w:spacing w:before="0" w:after="0" w:line="240" w:lineRule="auto"/>
        <w:rPr>
          <w:rFonts w:ascii="Garamond" w:hAnsi="Garamond"/>
        </w:rPr>
      </w:pPr>
      <w:r w:rsidRPr="00E91655">
        <w:rPr>
          <w:rFonts w:ascii="Garamond" w:hAnsi="Garamond"/>
        </w:rPr>
        <w:t xml:space="preserve">The following weblinks include publicly available materials that can be accessed to provide more detailed information and background reading. </w:t>
      </w:r>
    </w:p>
    <w:p w14:paraId="39A78AEC" w14:textId="77777777" w:rsidR="00E91655" w:rsidRDefault="00E91655" w:rsidP="007250DC">
      <w:pPr>
        <w:spacing w:before="0" w:after="0" w:line="240" w:lineRule="auto"/>
        <w:rPr>
          <w:rFonts w:ascii="Garamond" w:hAnsi="Garamond"/>
          <w:b/>
          <w:sz w:val="20"/>
          <w:szCs w:val="20"/>
        </w:rPr>
      </w:pPr>
    </w:p>
    <w:p w14:paraId="3C238D32" w14:textId="670158A8" w:rsidR="00E91655" w:rsidRDefault="00E91655" w:rsidP="007250DC">
      <w:pPr>
        <w:spacing w:before="0" w:after="0" w:line="240" w:lineRule="auto"/>
        <w:rPr>
          <w:rFonts w:ascii="Garamond" w:hAnsi="Garamond"/>
          <w:b/>
          <w:color w:val="548DD4" w:themeColor="text2" w:themeTint="99"/>
          <w:sz w:val="20"/>
          <w:szCs w:val="20"/>
        </w:rPr>
      </w:pPr>
      <w:r>
        <w:rPr>
          <w:rFonts w:ascii="Garamond" w:hAnsi="Garamond"/>
          <w:b/>
          <w:color w:val="548DD4" w:themeColor="text2" w:themeTint="99"/>
          <w:sz w:val="20"/>
          <w:szCs w:val="20"/>
        </w:rPr>
        <w:t xml:space="preserve">Editorial </w:t>
      </w:r>
      <w:r w:rsidRPr="00E91655">
        <w:rPr>
          <w:rFonts w:ascii="Garamond" w:hAnsi="Garamond"/>
          <w:b/>
          <w:color w:val="548DD4" w:themeColor="text2" w:themeTint="99"/>
          <w:sz w:val="20"/>
          <w:szCs w:val="20"/>
        </w:rPr>
        <w:t>Note: Need to decide best f</w:t>
      </w:r>
      <w:r>
        <w:rPr>
          <w:rFonts w:ascii="Garamond" w:hAnsi="Garamond"/>
          <w:b/>
          <w:color w:val="548DD4" w:themeColor="text2" w:themeTint="99"/>
          <w:sz w:val="20"/>
          <w:szCs w:val="20"/>
        </w:rPr>
        <w:t>ormat for including these links in final version</w:t>
      </w:r>
      <w:r w:rsidRPr="00E91655">
        <w:rPr>
          <w:rFonts w:ascii="Garamond" w:hAnsi="Garamond"/>
          <w:b/>
          <w:color w:val="548DD4" w:themeColor="text2" w:themeTint="99"/>
          <w:sz w:val="20"/>
          <w:szCs w:val="20"/>
        </w:rPr>
        <w:t xml:space="preserve"> </w:t>
      </w:r>
    </w:p>
    <w:p w14:paraId="6F5282A8" w14:textId="29171082" w:rsidR="000128F9" w:rsidRPr="00E91655" w:rsidRDefault="000128F9" w:rsidP="007250DC">
      <w:pPr>
        <w:spacing w:before="0" w:after="0" w:line="240" w:lineRule="auto"/>
        <w:rPr>
          <w:rFonts w:ascii="Garamond" w:hAnsi="Garamond"/>
          <w:b/>
          <w:color w:val="548DD4" w:themeColor="text2" w:themeTint="99"/>
          <w:sz w:val="20"/>
          <w:szCs w:val="20"/>
        </w:rPr>
      </w:pPr>
      <w:r>
        <w:rPr>
          <w:rFonts w:ascii="Garamond" w:hAnsi="Garamond"/>
          <w:b/>
          <w:color w:val="548DD4" w:themeColor="text2" w:themeTint="99"/>
          <w:sz w:val="20"/>
          <w:szCs w:val="20"/>
        </w:rPr>
        <w:t>Expand on links within document to each section</w:t>
      </w:r>
    </w:p>
    <w:p w14:paraId="711E8D67" w14:textId="77777777" w:rsidR="00E91655" w:rsidRDefault="00E91655" w:rsidP="007250DC">
      <w:pPr>
        <w:spacing w:before="0" w:after="0" w:line="240" w:lineRule="auto"/>
        <w:rPr>
          <w:rFonts w:ascii="Garamond" w:hAnsi="Garamond"/>
          <w:b/>
          <w:sz w:val="20"/>
          <w:szCs w:val="20"/>
        </w:rPr>
      </w:pPr>
    </w:p>
    <w:p w14:paraId="5ADEE2E6" w14:textId="77777777" w:rsidR="000128F9" w:rsidRPr="00933DC3" w:rsidRDefault="000128F9" w:rsidP="000128F9">
      <w:pPr>
        <w:pStyle w:val="ListParagraph"/>
        <w:spacing w:before="0" w:after="0" w:line="240" w:lineRule="auto"/>
        <w:jc w:val="left"/>
        <w:rPr>
          <w:rFonts w:ascii="Garamond" w:hAnsi="Garamond" w:cs="Times"/>
        </w:rPr>
      </w:pPr>
    </w:p>
    <w:p w14:paraId="33B386AB" w14:textId="75564660" w:rsidR="000128F9" w:rsidRDefault="000128F9" w:rsidP="000128F9">
      <w:pPr>
        <w:pStyle w:val="Heading3"/>
        <w:rPr>
          <w:rFonts w:ascii="Garamond" w:hAnsi="Garamond"/>
        </w:rPr>
      </w:pPr>
      <w:bookmarkStart w:id="77" w:name="_Toc269636353"/>
      <w:r>
        <w:rPr>
          <w:rFonts w:ascii="Garamond" w:hAnsi="Garamond"/>
        </w:rPr>
        <w:t>Step 1: Scoping</w:t>
      </w:r>
      <w:bookmarkEnd w:id="77"/>
    </w:p>
    <w:p w14:paraId="3607D9FB" w14:textId="77777777" w:rsidR="007250DC" w:rsidRPr="007250DC" w:rsidRDefault="007250DC" w:rsidP="007250DC">
      <w:pPr>
        <w:spacing w:before="0" w:after="0" w:line="240" w:lineRule="auto"/>
        <w:rPr>
          <w:rFonts w:ascii="Garamond" w:hAnsi="Garamond"/>
          <w:sz w:val="20"/>
          <w:szCs w:val="20"/>
        </w:rPr>
      </w:pPr>
    </w:p>
    <w:p w14:paraId="66424859" w14:textId="60630AE3"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General inf</w:t>
      </w:r>
      <w:r w:rsidR="001E1063">
        <w:rPr>
          <w:rFonts w:ascii="Garamond" w:hAnsi="Garamond"/>
          <w:b/>
          <w:sz w:val="20"/>
          <w:szCs w:val="20"/>
        </w:rPr>
        <w:t>ormation on concessions and PPP and tools</w:t>
      </w:r>
    </w:p>
    <w:p w14:paraId="22BECC59" w14:textId="77777777" w:rsidR="007250DC" w:rsidRDefault="007250DC" w:rsidP="007250DC">
      <w:pPr>
        <w:spacing w:before="0" w:after="0" w:line="240" w:lineRule="auto"/>
        <w:rPr>
          <w:rFonts w:ascii="Garamond" w:hAnsi="Garamond"/>
          <w:sz w:val="20"/>
          <w:szCs w:val="20"/>
        </w:rPr>
      </w:pPr>
    </w:p>
    <w:tbl>
      <w:tblPr>
        <w:tblStyle w:val="TableGrid"/>
        <w:tblW w:w="9322" w:type="dxa"/>
        <w:tblLook w:val="04A0" w:firstRow="1" w:lastRow="0" w:firstColumn="1" w:lastColumn="0" w:noHBand="0" w:noVBand="1"/>
      </w:tblPr>
      <w:tblGrid>
        <w:gridCol w:w="3593"/>
        <w:gridCol w:w="5729"/>
      </w:tblGrid>
      <w:tr w:rsidR="008325D8" w:rsidRPr="007250DC" w14:paraId="4AD6791A" w14:textId="77777777" w:rsidTr="000A41C9">
        <w:tc>
          <w:tcPr>
            <w:tcW w:w="3593" w:type="dxa"/>
          </w:tcPr>
          <w:p w14:paraId="1D4A4BB9" w14:textId="77777777" w:rsidR="008325D8" w:rsidRPr="000A41C9" w:rsidRDefault="008325D8" w:rsidP="00022CBA">
            <w:pPr>
              <w:spacing w:before="0" w:after="0" w:line="240" w:lineRule="auto"/>
              <w:rPr>
                <w:rFonts w:ascii="Garamond" w:hAnsi="Garamond"/>
                <w:sz w:val="20"/>
                <w:szCs w:val="20"/>
              </w:rPr>
            </w:pPr>
            <w:r w:rsidRPr="000A41C9">
              <w:rPr>
                <w:rFonts w:ascii="Garamond" w:hAnsi="Garamond"/>
                <w:sz w:val="20"/>
                <w:szCs w:val="20"/>
              </w:rPr>
              <w:t>PPP in infrastructure Resource Centre, World Bank</w:t>
            </w:r>
          </w:p>
        </w:tc>
        <w:tc>
          <w:tcPr>
            <w:tcW w:w="5729" w:type="dxa"/>
          </w:tcPr>
          <w:p w14:paraId="4647C828" w14:textId="77777777" w:rsidR="008325D8" w:rsidRPr="000A41C9" w:rsidRDefault="00500A2A" w:rsidP="00022CBA">
            <w:pPr>
              <w:spacing w:before="0" w:after="0" w:line="240" w:lineRule="auto"/>
              <w:rPr>
                <w:rFonts w:ascii="Garamond" w:hAnsi="Garamond"/>
                <w:sz w:val="20"/>
                <w:szCs w:val="20"/>
              </w:rPr>
            </w:pPr>
            <w:hyperlink r:id="rId148" w:history="1">
              <w:r w:rsidR="008325D8" w:rsidRPr="000A41C9">
                <w:rPr>
                  <w:rStyle w:val="Hyperlink"/>
                  <w:rFonts w:ascii="Garamond" w:hAnsi="Garamond"/>
                  <w:sz w:val="20"/>
                  <w:szCs w:val="20"/>
                </w:rPr>
                <w:t>http://ppp.worldbank.org</w:t>
              </w:r>
            </w:hyperlink>
          </w:p>
        </w:tc>
      </w:tr>
      <w:tr w:rsidR="008325D8" w:rsidRPr="007250DC" w14:paraId="1D093708" w14:textId="77777777" w:rsidTr="000A41C9">
        <w:tc>
          <w:tcPr>
            <w:tcW w:w="3593" w:type="dxa"/>
            <w:vAlign w:val="bottom"/>
          </w:tcPr>
          <w:p w14:paraId="630A91C9" w14:textId="292EF910" w:rsidR="008325D8" w:rsidRPr="000A41C9" w:rsidRDefault="008325D8" w:rsidP="00022CBA">
            <w:pPr>
              <w:spacing w:before="0" w:after="0" w:line="240" w:lineRule="auto"/>
              <w:rPr>
                <w:rFonts w:ascii="Garamond" w:hAnsi="Garamond"/>
                <w:sz w:val="20"/>
                <w:szCs w:val="20"/>
              </w:rPr>
            </w:pPr>
            <w:r w:rsidRPr="000A41C9">
              <w:rPr>
                <w:rFonts w:ascii="Garamond" w:hAnsi="Garamond" w:cs="Times New Roman"/>
                <w:color w:val="000000"/>
                <w:sz w:val="20"/>
                <w:szCs w:val="20"/>
              </w:rPr>
              <w:t>Global investment promotion best practices: winning tourism investment</w:t>
            </w:r>
          </w:p>
        </w:tc>
        <w:tc>
          <w:tcPr>
            <w:tcW w:w="5729" w:type="dxa"/>
            <w:vAlign w:val="bottom"/>
          </w:tcPr>
          <w:p w14:paraId="2787BA77" w14:textId="0A1599FB" w:rsidR="008325D8" w:rsidRPr="000A41C9" w:rsidRDefault="008325D8" w:rsidP="00022CBA">
            <w:pPr>
              <w:spacing w:before="0" w:after="0" w:line="240" w:lineRule="auto"/>
              <w:rPr>
                <w:sz w:val="20"/>
                <w:szCs w:val="20"/>
              </w:rPr>
            </w:pPr>
            <w:r w:rsidRPr="000A41C9">
              <w:rPr>
                <w:rFonts w:ascii="Garamond" w:hAnsi="Garamond"/>
                <w:sz w:val="20"/>
                <w:szCs w:val="20"/>
              </w:rPr>
              <w:t>https://www.wbginvestmentclimate.org/advisory-services/investment-generation/investment-policy-and-promotion/gipb/winning-tourism-investment.cfm</w:t>
            </w:r>
          </w:p>
        </w:tc>
      </w:tr>
      <w:tr w:rsidR="00D011D7" w:rsidRPr="007250DC" w14:paraId="273D0F98" w14:textId="77777777" w:rsidTr="000A41C9">
        <w:tc>
          <w:tcPr>
            <w:tcW w:w="3593" w:type="dxa"/>
          </w:tcPr>
          <w:p w14:paraId="134B6CEB" w14:textId="14C398F4"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 xml:space="preserve">Lesotho Tourism Public Private Partnership Contract Management Consulting </w:t>
            </w:r>
          </w:p>
          <w:p w14:paraId="4F9E1C0E" w14:textId="77777777" w:rsidR="00D011D7" w:rsidRPr="000A41C9" w:rsidRDefault="00D011D7" w:rsidP="007D5EEC">
            <w:pPr>
              <w:spacing w:before="0" w:after="0" w:line="240" w:lineRule="auto"/>
              <w:rPr>
                <w:rFonts w:ascii="Garamond" w:hAnsi="Garamond"/>
                <w:sz w:val="20"/>
                <w:szCs w:val="20"/>
              </w:rPr>
            </w:pPr>
          </w:p>
          <w:p w14:paraId="7FA73720" w14:textId="77777777"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Contract management Manual and resources:</w:t>
            </w:r>
          </w:p>
          <w:p w14:paraId="4CFAB1FF" w14:textId="77777777"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 xml:space="preserve">Volume I and II – Contract management training manual </w:t>
            </w:r>
          </w:p>
        </w:tc>
        <w:tc>
          <w:tcPr>
            <w:tcW w:w="5729" w:type="dxa"/>
          </w:tcPr>
          <w:p w14:paraId="488B68B7" w14:textId="77777777" w:rsidR="00D011D7" w:rsidRPr="000A41C9" w:rsidRDefault="00D011D7" w:rsidP="007D5EEC">
            <w:pPr>
              <w:spacing w:before="0" w:after="0" w:line="240" w:lineRule="auto"/>
              <w:rPr>
                <w:sz w:val="20"/>
                <w:szCs w:val="20"/>
              </w:rPr>
            </w:pPr>
            <w:r w:rsidRPr="000A41C9">
              <w:rPr>
                <w:rFonts w:ascii="Garamond" w:hAnsi="Garamond"/>
                <w:color w:val="4F81BD" w:themeColor="accent1"/>
                <w:sz w:val="20"/>
                <w:szCs w:val="20"/>
              </w:rPr>
              <w:t>Doc 35 and 36: Determine from Lesotho if they are happy for this to be a public document / weblink</w:t>
            </w:r>
          </w:p>
        </w:tc>
      </w:tr>
      <w:tr w:rsidR="001E1063" w:rsidRPr="007250DC" w14:paraId="78B03944" w14:textId="77777777" w:rsidTr="000A41C9">
        <w:tc>
          <w:tcPr>
            <w:tcW w:w="3593" w:type="dxa"/>
          </w:tcPr>
          <w:p w14:paraId="28D8145F" w14:textId="03F979D5" w:rsidR="001E1063" w:rsidRPr="000A41C9" w:rsidRDefault="001E1063" w:rsidP="00022CBA">
            <w:pPr>
              <w:spacing w:before="0" w:after="0" w:line="240" w:lineRule="auto"/>
              <w:rPr>
                <w:rFonts w:ascii="Garamond" w:hAnsi="Garamond"/>
                <w:sz w:val="20"/>
                <w:szCs w:val="20"/>
              </w:rPr>
            </w:pPr>
            <w:r w:rsidRPr="000A41C9">
              <w:rPr>
                <w:rFonts w:ascii="Garamond" w:hAnsi="Garamond"/>
                <w:sz w:val="20"/>
                <w:szCs w:val="20"/>
              </w:rPr>
              <w:t>Tourism concession guidelines, 2001</w:t>
            </w:r>
            <w:r w:rsidR="0073042D" w:rsidRPr="000A41C9">
              <w:rPr>
                <w:rFonts w:ascii="Garamond" w:hAnsi="Garamond"/>
                <w:sz w:val="20"/>
                <w:szCs w:val="20"/>
              </w:rPr>
              <w:t>, Malawi</w:t>
            </w:r>
          </w:p>
        </w:tc>
        <w:tc>
          <w:tcPr>
            <w:tcW w:w="5729" w:type="dxa"/>
          </w:tcPr>
          <w:p w14:paraId="04923963" w14:textId="41FAFDB0" w:rsidR="001E1063" w:rsidRPr="000A41C9" w:rsidRDefault="001E1063"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201</w:t>
            </w:r>
          </w:p>
        </w:tc>
      </w:tr>
      <w:tr w:rsidR="00D011D7" w:rsidRPr="007250DC" w14:paraId="6B2AABD3" w14:textId="77777777" w:rsidTr="000A41C9">
        <w:tc>
          <w:tcPr>
            <w:tcW w:w="3593" w:type="dxa"/>
          </w:tcPr>
          <w:p w14:paraId="1B68B14D" w14:textId="17A582F5" w:rsidR="00D011D7" w:rsidRPr="000A41C9" w:rsidRDefault="00201667" w:rsidP="00022CBA">
            <w:pPr>
              <w:spacing w:before="0" w:after="0" w:line="240" w:lineRule="auto"/>
              <w:rPr>
                <w:rFonts w:ascii="Garamond" w:hAnsi="Garamond"/>
                <w:sz w:val="20"/>
                <w:szCs w:val="20"/>
                <w:highlight w:val="yellow"/>
              </w:rPr>
            </w:pPr>
            <w:r w:rsidRPr="000A41C9">
              <w:rPr>
                <w:rFonts w:ascii="Garamond" w:hAnsi="Garamond"/>
                <w:sz w:val="20"/>
                <w:szCs w:val="20"/>
              </w:rPr>
              <w:t>Public Private Partnership Manual: National Treasury PPP Practice notes issued in terms of the Public Finance Management Act, National Treasury PPP unit</w:t>
            </w:r>
          </w:p>
        </w:tc>
        <w:tc>
          <w:tcPr>
            <w:tcW w:w="5729" w:type="dxa"/>
          </w:tcPr>
          <w:p w14:paraId="1A668C8D" w14:textId="3A171EEF" w:rsidR="00D011D7" w:rsidRPr="000A41C9" w:rsidRDefault="002E28CE" w:rsidP="002E28CE">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97</w:t>
            </w:r>
          </w:p>
        </w:tc>
      </w:tr>
      <w:tr w:rsidR="00D011D7" w:rsidRPr="007250DC" w14:paraId="3E2AB5AC" w14:textId="77777777" w:rsidTr="000A41C9">
        <w:tc>
          <w:tcPr>
            <w:tcW w:w="3593" w:type="dxa"/>
          </w:tcPr>
          <w:p w14:paraId="7FC6809C" w14:textId="75A09D92" w:rsidR="00D011D7" w:rsidRPr="000A41C9" w:rsidRDefault="002E28CE" w:rsidP="00022CBA">
            <w:pPr>
              <w:spacing w:before="0" w:after="0" w:line="240" w:lineRule="auto"/>
              <w:rPr>
                <w:rFonts w:ascii="Garamond" w:hAnsi="Garamond"/>
                <w:sz w:val="20"/>
                <w:szCs w:val="20"/>
                <w:highlight w:val="yellow"/>
              </w:rPr>
            </w:pPr>
            <w:r w:rsidRPr="000A41C9">
              <w:rPr>
                <w:rFonts w:ascii="Garamond" w:hAnsi="Garamond"/>
                <w:sz w:val="20"/>
                <w:szCs w:val="20"/>
              </w:rPr>
              <w:t>Namibia tourism and wildlife concessions policy</w:t>
            </w:r>
            <w:r w:rsidR="00D011D7" w:rsidRPr="000A41C9">
              <w:rPr>
                <w:rFonts w:ascii="Garamond" w:hAnsi="Garamond"/>
                <w:sz w:val="20"/>
                <w:szCs w:val="20"/>
              </w:rPr>
              <w:t xml:space="preserve"> </w:t>
            </w:r>
          </w:p>
        </w:tc>
        <w:tc>
          <w:tcPr>
            <w:tcW w:w="5729" w:type="dxa"/>
          </w:tcPr>
          <w:p w14:paraId="7D40E8AA" w14:textId="748648D7" w:rsidR="00D011D7" w:rsidRPr="000A41C9" w:rsidRDefault="002E28CE"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24</w:t>
            </w:r>
          </w:p>
        </w:tc>
      </w:tr>
      <w:tr w:rsidR="0073042D" w:rsidRPr="007250DC" w14:paraId="075911B3" w14:textId="77777777" w:rsidTr="000A41C9">
        <w:tc>
          <w:tcPr>
            <w:tcW w:w="3593" w:type="dxa"/>
          </w:tcPr>
          <w:p w14:paraId="7A4D9936" w14:textId="1F0D1ED9" w:rsidR="0073042D" w:rsidRPr="000A41C9" w:rsidRDefault="0073042D" w:rsidP="00022CBA">
            <w:pPr>
              <w:spacing w:before="0" w:after="0" w:line="240" w:lineRule="auto"/>
              <w:rPr>
                <w:rFonts w:ascii="Garamond" w:hAnsi="Garamond"/>
                <w:sz w:val="20"/>
                <w:szCs w:val="20"/>
              </w:rPr>
            </w:pPr>
            <w:r w:rsidRPr="000A41C9">
              <w:rPr>
                <w:rFonts w:ascii="Garamond" w:hAnsi="Garamond"/>
                <w:sz w:val="20"/>
                <w:szCs w:val="20"/>
              </w:rPr>
              <w:t>Investment Procedures, Tanzania National Parks</w:t>
            </w:r>
          </w:p>
        </w:tc>
        <w:tc>
          <w:tcPr>
            <w:tcW w:w="5729" w:type="dxa"/>
          </w:tcPr>
          <w:p w14:paraId="0DFB9392" w14:textId="0948EB28" w:rsidR="0073042D" w:rsidRPr="000A41C9" w:rsidRDefault="0073042D"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203</w:t>
            </w:r>
          </w:p>
        </w:tc>
      </w:tr>
      <w:tr w:rsidR="0073042D" w:rsidRPr="007250DC" w14:paraId="689D6237" w14:textId="77777777" w:rsidTr="000A41C9">
        <w:tc>
          <w:tcPr>
            <w:tcW w:w="3593" w:type="dxa"/>
          </w:tcPr>
          <w:p w14:paraId="6D514843" w14:textId="2ECF8170" w:rsidR="0073042D" w:rsidRPr="000A41C9" w:rsidRDefault="0073042D" w:rsidP="00022CBA">
            <w:pPr>
              <w:spacing w:before="0" w:after="0" w:line="240" w:lineRule="auto"/>
              <w:rPr>
                <w:rFonts w:ascii="Garamond" w:hAnsi="Garamond"/>
                <w:sz w:val="20"/>
                <w:szCs w:val="20"/>
              </w:rPr>
            </w:pPr>
            <w:r w:rsidRPr="000A41C9">
              <w:rPr>
                <w:rFonts w:ascii="Garamond" w:hAnsi="Garamond"/>
                <w:sz w:val="20"/>
                <w:szCs w:val="20"/>
              </w:rPr>
              <w:t>Development/action/lease procedures, Tanzania National Parks</w:t>
            </w:r>
          </w:p>
        </w:tc>
        <w:tc>
          <w:tcPr>
            <w:tcW w:w="5729" w:type="dxa"/>
          </w:tcPr>
          <w:p w14:paraId="624E158B" w14:textId="2A64F929" w:rsidR="0073042D" w:rsidRPr="000A41C9" w:rsidRDefault="00201667"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204</w:t>
            </w:r>
          </w:p>
        </w:tc>
      </w:tr>
      <w:tr w:rsidR="000A41C9" w:rsidRPr="007250DC" w14:paraId="7141900C" w14:textId="77777777" w:rsidTr="000A41C9">
        <w:tc>
          <w:tcPr>
            <w:tcW w:w="3593" w:type="dxa"/>
          </w:tcPr>
          <w:p w14:paraId="0A5BFEF8" w14:textId="45B02E85" w:rsidR="000A41C9" w:rsidRPr="000A41C9" w:rsidRDefault="000A41C9" w:rsidP="00022CBA">
            <w:pPr>
              <w:spacing w:before="0" w:after="0" w:line="240" w:lineRule="auto"/>
              <w:rPr>
                <w:rFonts w:ascii="Garamond" w:hAnsi="Garamond"/>
                <w:sz w:val="20"/>
                <w:szCs w:val="20"/>
              </w:rPr>
            </w:pPr>
            <w:r w:rsidRPr="000A41C9">
              <w:rPr>
                <w:rFonts w:ascii="Garamond" w:hAnsi="Garamond" w:cs="Times New Roman"/>
                <w:color w:val="000000"/>
                <w:sz w:val="20"/>
                <w:szCs w:val="20"/>
              </w:rPr>
              <w:t>Tourism concessions in protected areas in Mozambique: Manual for operators and concessionnaires</w:t>
            </w:r>
          </w:p>
        </w:tc>
        <w:tc>
          <w:tcPr>
            <w:tcW w:w="5729" w:type="dxa"/>
          </w:tcPr>
          <w:p w14:paraId="06511FE7" w14:textId="38DE5D5B" w:rsidR="000A41C9" w:rsidRPr="000A41C9" w:rsidRDefault="000A41C9" w:rsidP="00022CBA">
            <w:pPr>
              <w:spacing w:before="0" w:after="0" w:line="240" w:lineRule="auto"/>
              <w:rPr>
                <w:rFonts w:ascii="Garamond" w:hAnsi="Garamond"/>
                <w:color w:val="4F81BD" w:themeColor="accent1"/>
                <w:sz w:val="20"/>
                <w:szCs w:val="20"/>
              </w:rPr>
            </w:pPr>
            <w:r w:rsidRPr="000A41C9">
              <w:rPr>
                <w:rFonts w:ascii="Garamond" w:hAnsi="Garamond" w:cs="Times New Roman"/>
                <w:color w:val="000000"/>
                <w:sz w:val="20"/>
                <w:szCs w:val="20"/>
              </w:rPr>
              <w:t>http://anna.spenceley.co.uk/files/Files%20Sept%202012/SPEED-Reports-2012-005ConcessionsOperatorManual.pdf</w:t>
            </w:r>
          </w:p>
        </w:tc>
      </w:tr>
    </w:tbl>
    <w:p w14:paraId="60EA72FD" w14:textId="77777777" w:rsidR="008325D8" w:rsidRPr="007250DC" w:rsidRDefault="008325D8" w:rsidP="007250DC">
      <w:pPr>
        <w:spacing w:before="0" w:after="0" w:line="240" w:lineRule="auto"/>
        <w:rPr>
          <w:rFonts w:ascii="Garamond" w:hAnsi="Garamond"/>
          <w:sz w:val="20"/>
          <w:szCs w:val="20"/>
        </w:rPr>
      </w:pPr>
    </w:p>
    <w:p w14:paraId="0CB23399" w14:textId="77777777" w:rsidR="007250DC" w:rsidRPr="007250DC" w:rsidRDefault="007250DC" w:rsidP="007250DC">
      <w:pPr>
        <w:spacing w:before="0" w:after="0" w:line="240" w:lineRule="auto"/>
        <w:rPr>
          <w:rFonts w:ascii="Garamond" w:hAnsi="Garamond"/>
          <w:sz w:val="20"/>
          <w:szCs w:val="20"/>
        </w:rPr>
      </w:pPr>
    </w:p>
    <w:p w14:paraId="2B723014"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General information on protected areas, transfrontier conservation areas, sustainable tourism and local communities</w:t>
      </w:r>
    </w:p>
    <w:tbl>
      <w:tblPr>
        <w:tblStyle w:val="TableGrid"/>
        <w:tblW w:w="9322" w:type="dxa"/>
        <w:tblLayout w:type="fixed"/>
        <w:tblLook w:val="04A0" w:firstRow="1" w:lastRow="0" w:firstColumn="1" w:lastColumn="0" w:noHBand="0" w:noVBand="1"/>
      </w:tblPr>
      <w:tblGrid>
        <w:gridCol w:w="4786"/>
        <w:gridCol w:w="4536"/>
      </w:tblGrid>
      <w:tr w:rsidR="007250DC" w:rsidRPr="007250DC" w14:paraId="3D3F1080" w14:textId="77777777" w:rsidTr="008325D8">
        <w:tc>
          <w:tcPr>
            <w:tcW w:w="4786" w:type="dxa"/>
          </w:tcPr>
          <w:p w14:paraId="56AB2B4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applying protected area categories</w:t>
            </w:r>
          </w:p>
          <w:p w14:paraId="7FA855F3" w14:textId="77777777" w:rsidR="007250DC" w:rsidRPr="007250DC" w:rsidRDefault="007250DC" w:rsidP="007250DC">
            <w:pPr>
              <w:spacing w:before="0" w:after="0" w:line="240" w:lineRule="auto"/>
              <w:rPr>
                <w:rFonts w:ascii="Garamond" w:hAnsi="Garamond"/>
                <w:sz w:val="20"/>
                <w:szCs w:val="20"/>
              </w:rPr>
            </w:pPr>
          </w:p>
        </w:tc>
        <w:tc>
          <w:tcPr>
            <w:tcW w:w="4536" w:type="dxa"/>
          </w:tcPr>
          <w:p w14:paraId="77F64196" w14:textId="77777777" w:rsidR="007250DC" w:rsidRPr="007250DC" w:rsidRDefault="00500A2A" w:rsidP="007250DC">
            <w:pPr>
              <w:spacing w:before="0" w:after="0" w:line="240" w:lineRule="auto"/>
              <w:rPr>
                <w:rFonts w:ascii="Garamond" w:hAnsi="Garamond"/>
                <w:color w:val="4F81BD" w:themeColor="accent1"/>
                <w:sz w:val="20"/>
                <w:szCs w:val="20"/>
              </w:rPr>
            </w:pPr>
            <w:hyperlink r:id="rId149" w:history="1">
              <w:r w:rsidR="007250DC" w:rsidRPr="007250DC">
                <w:rPr>
                  <w:rStyle w:val="Hyperlink"/>
                  <w:rFonts w:ascii="Garamond" w:hAnsi="Garamond"/>
                  <w:color w:val="4F81BD" w:themeColor="accent1"/>
                  <w:sz w:val="20"/>
                  <w:szCs w:val="20"/>
                </w:rPr>
                <w:t>http://www.iucn.org/about/work/programmes/gpap_home/gpap_capacity2/gpap_bpg/?13959/Guidelines-for-applying-protected-area-management-categories</w:t>
              </w:r>
            </w:hyperlink>
          </w:p>
        </w:tc>
      </w:tr>
      <w:tr w:rsidR="007250DC" w:rsidRPr="007250DC" w14:paraId="099AD1CD" w14:textId="77777777" w:rsidTr="008325D8">
        <w:tc>
          <w:tcPr>
            <w:tcW w:w="4786" w:type="dxa"/>
          </w:tcPr>
          <w:p w14:paraId="3768E5D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applying protected area categories to marine protected areas</w:t>
            </w:r>
          </w:p>
          <w:p w14:paraId="4E45BC00" w14:textId="77777777" w:rsidR="007250DC" w:rsidRPr="007250DC" w:rsidRDefault="007250DC" w:rsidP="007250DC">
            <w:pPr>
              <w:spacing w:before="0" w:after="0" w:line="240" w:lineRule="auto"/>
              <w:rPr>
                <w:rFonts w:ascii="Garamond" w:hAnsi="Garamond"/>
                <w:sz w:val="20"/>
                <w:szCs w:val="20"/>
              </w:rPr>
            </w:pPr>
          </w:p>
        </w:tc>
        <w:tc>
          <w:tcPr>
            <w:tcW w:w="4536" w:type="dxa"/>
          </w:tcPr>
          <w:p w14:paraId="644A1880" w14:textId="77777777" w:rsidR="007250DC" w:rsidRPr="007250DC" w:rsidRDefault="00500A2A" w:rsidP="007250DC">
            <w:pPr>
              <w:spacing w:before="0" w:after="0" w:line="240" w:lineRule="auto"/>
              <w:rPr>
                <w:rFonts w:ascii="Garamond" w:hAnsi="Garamond"/>
                <w:color w:val="4F81BD" w:themeColor="accent1"/>
                <w:sz w:val="20"/>
                <w:szCs w:val="20"/>
              </w:rPr>
            </w:pPr>
            <w:hyperlink r:id="rId150" w:history="1">
              <w:r w:rsidR="007250DC" w:rsidRPr="007250DC">
                <w:rPr>
                  <w:rStyle w:val="Hyperlink"/>
                  <w:rFonts w:ascii="Garamond" w:hAnsi="Garamond"/>
                  <w:sz w:val="20"/>
                  <w:szCs w:val="20"/>
                </w:rPr>
                <w:t>http://www.iucn.org/about/work/programmes/gpap_home/gpap_capacity2/gpap_bpg/?11131/Guidelines-for-Applying-the-IUCN-Protected-Area-Management-Categories-to-Marine-Protected-Areas</w:t>
              </w:r>
            </w:hyperlink>
          </w:p>
        </w:tc>
      </w:tr>
      <w:tr w:rsidR="007250DC" w:rsidRPr="007250DC" w14:paraId="08A0F48C" w14:textId="77777777" w:rsidTr="008325D8">
        <w:tc>
          <w:tcPr>
            <w:tcW w:w="4786" w:type="dxa"/>
          </w:tcPr>
          <w:p w14:paraId="136F5D26"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Governance of protected areas</w:t>
            </w:r>
          </w:p>
        </w:tc>
        <w:tc>
          <w:tcPr>
            <w:tcW w:w="4536" w:type="dxa"/>
          </w:tcPr>
          <w:p w14:paraId="32552CB5" w14:textId="77777777" w:rsidR="007250DC" w:rsidRPr="007250DC" w:rsidRDefault="00500A2A" w:rsidP="007250DC">
            <w:pPr>
              <w:spacing w:before="0" w:after="0" w:line="240" w:lineRule="auto"/>
              <w:rPr>
                <w:rFonts w:ascii="Garamond" w:hAnsi="Garamond"/>
                <w:color w:val="4F81BD" w:themeColor="accent1"/>
                <w:sz w:val="20"/>
                <w:szCs w:val="20"/>
              </w:rPr>
            </w:pPr>
            <w:hyperlink r:id="rId151" w:history="1">
              <w:r w:rsidR="007250DC" w:rsidRPr="007250DC">
                <w:rPr>
                  <w:rStyle w:val="Hyperlink"/>
                  <w:rFonts w:ascii="Garamond" w:hAnsi="Garamond"/>
                  <w:sz w:val="20"/>
                  <w:szCs w:val="20"/>
                </w:rPr>
                <w:t>https://cmsdata.iucn.org/downloads/governance_web_1.pdf</w:t>
              </w:r>
            </w:hyperlink>
          </w:p>
        </w:tc>
      </w:tr>
      <w:tr w:rsidR="007250DC" w:rsidRPr="007250DC" w14:paraId="50C130A0" w14:textId="77777777" w:rsidTr="008325D8">
        <w:tc>
          <w:tcPr>
            <w:tcW w:w="4786" w:type="dxa"/>
          </w:tcPr>
          <w:p w14:paraId="21D25BB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1E14CEC0" w14:textId="77777777" w:rsidR="007250DC" w:rsidRPr="007250DC" w:rsidRDefault="007250DC" w:rsidP="007250DC">
            <w:pPr>
              <w:spacing w:before="0" w:after="0" w:line="240" w:lineRule="auto"/>
              <w:rPr>
                <w:rFonts w:ascii="Garamond" w:hAnsi="Garamond"/>
                <w:sz w:val="20"/>
                <w:szCs w:val="20"/>
              </w:rPr>
            </w:pPr>
          </w:p>
        </w:tc>
        <w:tc>
          <w:tcPr>
            <w:tcW w:w="4536" w:type="dxa"/>
          </w:tcPr>
          <w:p w14:paraId="1F4C64BC" w14:textId="77777777" w:rsidR="007250DC" w:rsidRPr="007250DC" w:rsidRDefault="00500A2A" w:rsidP="007250DC">
            <w:pPr>
              <w:spacing w:before="0" w:after="0" w:line="240" w:lineRule="auto"/>
              <w:rPr>
                <w:rFonts w:ascii="Garamond" w:hAnsi="Garamond"/>
                <w:color w:val="4F81BD" w:themeColor="accent1"/>
                <w:sz w:val="20"/>
                <w:szCs w:val="20"/>
              </w:rPr>
            </w:pPr>
            <w:hyperlink r:id="rId152"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w:t>
              </w:r>
              <w:r w:rsidR="007250DC" w:rsidRPr="007250DC">
                <w:rPr>
                  <w:rStyle w:val="Hyperlink"/>
                  <w:rFonts w:ascii="Garamond" w:hAnsi="Garamond"/>
                  <w:color w:val="4F81BD" w:themeColor="accent1"/>
                  <w:sz w:val="20"/>
                  <w:szCs w:val="20"/>
                </w:rPr>
                <w:lastRenderedPageBreak/>
                <w:t>Equity-and-Enhanced-Conservation</w:t>
              </w:r>
            </w:hyperlink>
          </w:p>
        </w:tc>
      </w:tr>
      <w:tr w:rsidR="007250DC" w:rsidRPr="007250DC" w14:paraId="4412C5F4" w14:textId="77777777" w:rsidTr="008325D8">
        <w:tc>
          <w:tcPr>
            <w:tcW w:w="4786" w:type="dxa"/>
          </w:tcPr>
          <w:p w14:paraId="1E734A0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lastRenderedPageBreak/>
              <w:t>Sacred Natural Sites – guidelines for protected area managers</w:t>
            </w:r>
          </w:p>
        </w:tc>
        <w:tc>
          <w:tcPr>
            <w:tcW w:w="4536" w:type="dxa"/>
          </w:tcPr>
          <w:p w14:paraId="47EC01E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sz w:val="20"/>
                <w:szCs w:val="20"/>
              </w:rPr>
              <w:t>http://www.iucn.org/about/work/programmes/gpap_home/gpap_capacity2/gpap_bpg/?10060/Sacred-Natural-Sites---Guidelines-for-Protected-Area-Managers</w:t>
            </w:r>
          </w:p>
        </w:tc>
      </w:tr>
      <w:tr w:rsidR="007250DC" w:rsidRPr="007250DC" w14:paraId="613127E0" w14:textId="77777777" w:rsidTr="008325D8">
        <w:tc>
          <w:tcPr>
            <w:tcW w:w="4786" w:type="dxa"/>
          </w:tcPr>
          <w:p w14:paraId="1F40E7D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Sustainable tourism in protected areas: guidelines for planning and management </w:t>
            </w:r>
            <w:r w:rsidRPr="007250DC">
              <w:rPr>
                <w:rFonts w:ascii="Garamond" w:hAnsi="Garamond"/>
                <w:color w:val="4F81BD" w:themeColor="accent1"/>
                <w:sz w:val="20"/>
                <w:szCs w:val="20"/>
              </w:rPr>
              <w:t>(NB new edition due Sept 2013)</w:t>
            </w:r>
          </w:p>
          <w:p w14:paraId="180B513E" w14:textId="77777777" w:rsidR="007250DC" w:rsidRPr="007250DC" w:rsidRDefault="007250DC" w:rsidP="007250DC">
            <w:pPr>
              <w:spacing w:before="0" w:after="0" w:line="240" w:lineRule="auto"/>
              <w:rPr>
                <w:rFonts w:ascii="Garamond" w:hAnsi="Garamond"/>
                <w:sz w:val="20"/>
                <w:szCs w:val="20"/>
                <w:highlight w:val="yellow"/>
              </w:rPr>
            </w:pPr>
          </w:p>
        </w:tc>
        <w:tc>
          <w:tcPr>
            <w:tcW w:w="4536" w:type="dxa"/>
          </w:tcPr>
          <w:p w14:paraId="05387019" w14:textId="77777777" w:rsidR="007250DC" w:rsidRPr="007250DC" w:rsidRDefault="00500A2A" w:rsidP="007250DC">
            <w:pPr>
              <w:spacing w:before="0" w:after="0" w:line="240" w:lineRule="auto"/>
              <w:rPr>
                <w:rFonts w:ascii="Garamond" w:hAnsi="Garamond"/>
                <w:sz w:val="20"/>
                <w:szCs w:val="20"/>
              </w:rPr>
            </w:pPr>
            <w:hyperlink r:id="rId153" w:history="1">
              <w:r w:rsidR="007250DC" w:rsidRPr="007250DC">
                <w:rPr>
                  <w:rStyle w:val="Hyperlink"/>
                  <w:rFonts w:ascii="Garamond" w:hAnsi="Garamond"/>
                  <w:sz w:val="20"/>
                  <w:szCs w:val="20"/>
                </w:rPr>
                <w:t>http://www.iucn.org/about/work/programmes/gpap_home/gpap_capacity2/gpap_bpg/?2167/Sustainable-tourism-in-protected-areas-guidelines-for-planning-and-management</w:t>
              </w:r>
            </w:hyperlink>
          </w:p>
        </w:tc>
      </w:tr>
      <w:tr w:rsidR="007250DC" w:rsidRPr="007250DC" w14:paraId="1654C9A5" w14:textId="77777777" w:rsidTr="008325D8">
        <w:tc>
          <w:tcPr>
            <w:tcW w:w="4786" w:type="dxa"/>
          </w:tcPr>
          <w:p w14:paraId="35D3B071" w14:textId="77777777" w:rsidR="007250DC" w:rsidRPr="007250DC" w:rsidRDefault="007250DC" w:rsidP="007250DC">
            <w:pPr>
              <w:tabs>
                <w:tab w:val="left" w:pos="1533"/>
              </w:tabs>
              <w:spacing w:before="0" w:after="0" w:line="240" w:lineRule="auto"/>
              <w:rPr>
                <w:rFonts w:ascii="Garamond" w:hAnsi="Garamond"/>
                <w:sz w:val="20"/>
                <w:szCs w:val="20"/>
              </w:rPr>
            </w:pPr>
            <w:r w:rsidRPr="007250DC">
              <w:rPr>
                <w:rFonts w:ascii="Garamond" w:hAnsi="Garamond"/>
                <w:sz w:val="20"/>
                <w:szCs w:val="20"/>
              </w:rPr>
              <w:t>Sustainable financing of protected areas</w:t>
            </w:r>
          </w:p>
          <w:p w14:paraId="1524A064" w14:textId="77777777" w:rsidR="007250DC" w:rsidRPr="007250DC" w:rsidRDefault="007250DC" w:rsidP="007250DC">
            <w:pPr>
              <w:spacing w:before="0" w:after="0" w:line="240" w:lineRule="auto"/>
              <w:rPr>
                <w:rFonts w:ascii="Garamond" w:hAnsi="Garamond"/>
                <w:sz w:val="20"/>
                <w:szCs w:val="20"/>
                <w:highlight w:val="yellow"/>
              </w:rPr>
            </w:pPr>
          </w:p>
        </w:tc>
        <w:tc>
          <w:tcPr>
            <w:tcW w:w="4536" w:type="dxa"/>
          </w:tcPr>
          <w:p w14:paraId="3929DECA" w14:textId="77777777" w:rsidR="007250DC" w:rsidRPr="007250DC" w:rsidRDefault="00500A2A" w:rsidP="007250DC">
            <w:pPr>
              <w:spacing w:before="0" w:after="0" w:line="240" w:lineRule="auto"/>
              <w:rPr>
                <w:rFonts w:ascii="Garamond" w:hAnsi="Garamond"/>
                <w:sz w:val="20"/>
                <w:szCs w:val="20"/>
              </w:rPr>
            </w:pPr>
            <w:hyperlink r:id="rId154" w:history="1">
              <w:r w:rsidR="007250DC" w:rsidRPr="007250DC">
                <w:rPr>
                  <w:rStyle w:val="Hyperlink"/>
                  <w:rFonts w:ascii="Garamond" w:hAnsi="Garamond"/>
                  <w:sz w:val="20"/>
                  <w:szCs w:val="20"/>
                </w:rPr>
                <w:t>http://www.iucn.org/about/work/programmes/gpap_home/gpap_capacity2/gpap_bpg/</w:t>
              </w:r>
            </w:hyperlink>
            <w:r w:rsidR="007250DC" w:rsidRPr="007250DC">
              <w:rPr>
                <w:rFonts w:ascii="Garamond" w:hAnsi="Garamond"/>
                <w:color w:val="4F81BD" w:themeColor="accent1"/>
                <w:sz w:val="20"/>
                <w:szCs w:val="20"/>
              </w:rPr>
              <w:t>?374/Sustainable-Financing-of-Protected-Areas</w:t>
            </w:r>
          </w:p>
        </w:tc>
      </w:tr>
      <w:tr w:rsidR="007250DC" w:rsidRPr="007250DC" w14:paraId="7C7B19AC" w14:textId="77777777" w:rsidTr="008325D8">
        <w:tc>
          <w:tcPr>
            <w:tcW w:w="4786" w:type="dxa"/>
          </w:tcPr>
          <w:p w14:paraId="4DC885C0" w14:textId="77777777" w:rsidR="007250DC" w:rsidRPr="007250DC" w:rsidRDefault="007250DC" w:rsidP="007250DC">
            <w:pPr>
              <w:spacing w:before="0" w:after="0" w:line="240" w:lineRule="auto"/>
              <w:rPr>
                <w:rFonts w:ascii="Garamond" w:hAnsi="Garamond"/>
                <w:sz w:val="20"/>
                <w:szCs w:val="20"/>
                <w:highlight w:val="yellow"/>
              </w:rPr>
            </w:pPr>
            <w:r w:rsidRPr="007250DC">
              <w:rPr>
                <w:rFonts w:ascii="Garamond" w:hAnsi="Garamond"/>
                <w:sz w:val="20"/>
                <w:szCs w:val="20"/>
              </w:rPr>
              <w:t>IFC A Guide to Biodiversity for the Private Sector: Tourism and Hospitality</w:t>
            </w:r>
          </w:p>
        </w:tc>
        <w:tc>
          <w:tcPr>
            <w:tcW w:w="4536" w:type="dxa"/>
          </w:tcPr>
          <w:p w14:paraId="20BFE32E" w14:textId="77777777" w:rsidR="007250DC" w:rsidRPr="007250DC" w:rsidRDefault="00500A2A" w:rsidP="007250DC">
            <w:pPr>
              <w:spacing w:before="0" w:after="0" w:line="240" w:lineRule="auto"/>
              <w:rPr>
                <w:rFonts w:ascii="Garamond" w:hAnsi="Garamond"/>
                <w:sz w:val="20"/>
                <w:szCs w:val="20"/>
              </w:rPr>
            </w:pPr>
            <w:hyperlink r:id="rId155" w:history="1">
              <w:r w:rsidR="007250DC" w:rsidRPr="007250DC">
                <w:rPr>
                  <w:rStyle w:val="Hyperlink"/>
                  <w:rFonts w:ascii="Garamond" w:hAnsi="Garamond"/>
                  <w:sz w:val="20"/>
                  <w:szCs w:val="20"/>
                </w:rPr>
                <w:t>http://www.ifc.org/wps/wcm/connect/8b97918048855795bcf4fe6a6515bb18/Tourism%2Band%2BHospitality.pdf?MOD=AJPERES&amp;CACHEID=8b97918048855795bcf4fe6a6515bb18</w:t>
              </w:r>
            </w:hyperlink>
          </w:p>
        </w:tc>
      </w:tr>
      <w:tr w:rsidR="007250DC" w:rsidRPr="007250DC" w14:paraId="7AC3A3AA" w14:textId="77777777" w:rsidTr="008325D8">
        <w:tc>
          <w:tcPr>
            <w:tcW w:w="4786" w:type="dxa"/>
          </w:tcPr>
          <w:p w14:paraId="1994E40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Practical, profitable, protected: A starter guide to developing sustainable tourism in protected areas</w:t>
            </w:r>
          </w:p>
        </w:tc>
        <w:tc>
          <w:tcPr>
            <w:tcW w:w="4536" w:type="dxa"/>
          </w:tcPr>
          <w:p w14:paraId="7FFBD267" w14:textId="77777777" w:rsidR="007250DC" w:rsidRPr="007250DC" w:rsidRDefault="00500A2A" w:rsidP="007250DC">
            <w:pPr>
              <w:spacing w:before="0" w:after="0" w:line="240" w:lineRule="auto"/>
              <w:rPr>
                <w:rFonts w:ascii="Garamond" w:hAnsi="Garamond"/>
                <w:sz w:val="20"/>
                <w:szCs w:val="20"/>
              </w:rPr>
            </w:pPr>
            <w:hyperlink r:id="rId156" w:history="1">
              <w:r w:rsidR="007250DC" w:rsidRPr="007250DC">
                <w:rPr>
                  <w:rFonts w:ascii="Garamond" w:hAnsi="Garamond" w:cs="Verdana"/>
                  <w:color w:val="052C7C"/>
                  <w:sz w:val="20"/>
                  <w:szCs w:val="20"/>
                </w:rPr>
                <w:t>www.eceat-projects.org/tourism-manual</w:t>
              </w:r>
            </w:hyperlink>
          </w:p>
        </w:tc>
      </w:tr>
      <w:tr w:rsidR="007250DC" w:rsidRPr="007250DC" w14:paraId="2D48FBF3" w14:textId="77777777" w:rsidTr="008325D8">
        <w:tc>
          <w:tcPr>
            <w:tcW w:w="4786" w:type="dxa"/>
          </w:tcPr>
          <w:p w14:paraId="3E6AA07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Sustainable development and ecotourism: a compilation of good practices</w:t>
            </w:r>
          </w:p>
        </w:tc>
        <w:tc>
          <w:tcPr>
            <w:tcW w:w="4536" w:type="dxa"/>
          </w:tcPr>
          <w:p w14:paraId="1B9B3B91" w14:textId="77777777" w:rsidR="007250DC" w:rsidRPr="007250DC" w:rsidRDefault="00500A2A" w:rsidP="007250DC">
            <w:pPr>
              <w:spacing w:before="0" w:after="0" w:line="240" w:lineRule="auto"/>
              <w:rPr>
                <w:rFonts w:ascii="Garamond" w:hAnsi="Garamond"/>
                <w:sz w:val="20"/>
                <w:szCs w:val="20"/>
              </w:rPr>
            </w:pPr>
            <w:hyperlink r:id="rId157" w:history="1">
              <w:r w:rsidR="007250DC" w:rsidRPr="007250DC">
                <w:rPr>
                  <w:rStyle w:val="Hyperlink"/>
                  <w:rFonts w:ascii="Garamond" w:hAnsi="Garamond"/>
                  <w:sz w:val="20"/>
                  <w:szCs w:val="20"/>
                </w:rPr>
                <w:t>http://sdt.unwto.org/en/content/ecotourism-and-qprotected-areas</w:t>
              </w:r>
            </w:hyperlink>
          </w:p>
        </w:tc>
      </w:tr>
      <w:tr w:rsidR="007250DC" w:rsidRPr="007250DC" w14:paraId="0C09C8B4" w14:textId="77777777" w:rsidTr="008325D8">
        <w:tc>
          <w:tcPr>
            <w:tcW w:w="4786" w:type="dxa"/>
          </w:tcPr>
          <w:p w14:paraId="63F65DA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Tourism and biodiversity – achieving common goals towards sustainability</w:t>
            </w:r>
          </w:p>
        </w:tc>
        <w:tc>
          <w:tcPr>
            <w:tcW w:w="4536" w:type="dxa"/>
          </w:tcPr>
          <w:p w14:paraId="7D74FC8E" w14:textId="77777777" w:rsidR="007250DC" w:rsidRPr="007250DC" w:rsidRDefault="00500A2A" w:rsidP="007250DC">
            <w:pPr>
              <w:spacing w:before="0" w:after="0" w:line="240" w:lineRule="auto"/>
              <w:rPr>
                <w:rFonts w:ascii="Garamond" w:hAnsi="Garamond"/>
                <w:sz w:val="20"/>
                <w:szCs w:val="20"/>
              </w:rPr>
            </w:pPr>
            <w:hyperlink r:id="rId158" w:history="1">
              <w:r w:rsidR="007250DC" w:rsidRPr="007250DC">
                <w:rPr>
                  <w:rStyle w:val="Hyperlink"/>
                  <w:rFonts w:ascii="Garamond" w:hAnsi="Garamond"/>
                  <w:sz w:val="20"/>
                  <w:szCs w:val="20"/>
                </w:rPr>
                <w:t>http://www.e-unwto.org/content/j6584k/?p=4c0fc713d75748e18e6501fe8237f499&amp;pi=9</w:t>
              </w:r>
            </w:hyperlink>
          </w:p>
        </w:tc>
      </w:tr>
      <w:tr w:rsidR="007250DC" w:rsidRPr="007250DC" w14:paraId="4D7A3A93" w14:textId="77777777" w:rsidTr="008325D8">
        <w:tc>
          <w:tcPr>
            <w:tcW w:w="4786" w:type="dxa"/>
          </w:tcPr>
          <w:p w14:paraId="6E65514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Making tourism more sustainable – A guide for policy makers</w:t>
            </w:r>
          </w:p>
        </w:tc>
        <w:tc>
          <w:tcPr>
            <w:tcW w:w="4536" w:type="dxa"/>
          </w:tcPr>
          <w:p w14:paraId="3FEBA087" w14:textId="77777777" w:rsidR="007250DC" w:rsidRPr="007250DC" w:rsidRDefault="00500A2A" w:rsidP="007250DC">
            <w:pPr>
              <w:spacing w:before="0" w:after="0" w:line="240" w:lineRule="auto"/>
              <w:rPr>
                <w:rFonts w:ascii="Garamond" w:hAnsi="Garamond"/>
                <w:sz w:val="20"/>
                <w:szCs w:val="20"/>
              </w:rPr>
            </w:pPr>
            <w:hyperlink r:id="rId159" w:history="1">
              <w:r w:rsidR="007250DC" w:rsidRPr="007250DC">
                <w:rPr>
                  <w:rStyle w:val="Hyperlink"/>
                  <w:rFonts w:ascii="Garamond" w:hAnsi="Garamond"/>
                  <w:sz w:val="20"/>
                  <w:szCs w:val="20"/>
                </w:rPr>
                <w:t>http://www.e-unwto.org/content/w715w4/?p=0ef9688179a94fb08c63036081aa68ea&amp;pi=1</w:t>
              </w:r>
            </w:hyperlink>
          </w:p>
        </w:tc>
      </w:tr>
      <w:tr w:rsidR="007250DC" w:rsidRPr="007250DC" w14:paraId="7BCEA36C" w14:textId="77777777" w:rsidTr="008325D8">
        <w:tc>
          <w:tcPr>
            <w:tcW w:w="4786" w:type="dxa"/>
          </w:tcPr>
          <w:p w14:paraId="652609F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Biodiversity: My hotel in action</w:t>
            </w:r>
          </w:p>
        </w:tc>
        <w:tc>
          <w:tcPr>
            <w:tcW w:w="4536" w:type="dxa"/>
          </w:tcPr>
          <w:p w14:paraId="7F585C02" w14:textId="77777777" w:rsidR="007250DC" w:rsidRPr="007250DC" w:rsidRDefault="00500A2A" w:rsidP="007250DC">
            <w:pPr>
              <w:spacing w:before="0" w:after="0" w:line="240" w:lineRule="auto"/>
              <w:rPr>
                <w:rFonts w:ascii="Garamond" w:hAnsi="Garamond"/>
                <w:sz w:val="20"/>
                <w:szCs w:val="20"/>
              </w:rPr>
            </w:pPr>
            <w:hyperlink r:id="rId160" w:history="1">
              <w:r w:rsidR="007250DC" w:rsidRPr="007250DC">
                <w:rPr>
                  <w:rStyle w:val="Hyperlink"/>
                  <w:rFonts w:ascii="Garamond" w:hAnsi="Garamond"/>
                  <w:sz w:val="20"/>
                  <w:szCs w:val="20"/>
                </w:rPr>
                <w:t>http://cmsdata.iucn.org/downloads/iucn_hotel_guide_final.pdf</w:t>
              </w:r>
            </w:hyperlink>
          </w:p>
        </w:tc>
      </w:tr>
      <w:tr w:rsidR="007250DC" w:rsidRPr="007250DC" w14:paraId="7F47E286" w14:textId="77777777" w:rsidTr="008325D8">
        <w:tc>
          <w:tcPr>
            <w:tcW w:w="4786" w:type="dxa"/>
            <w:vAlign w:val="bottom"/>
          </w:tcPr>
          <w:p w14:paraId="41605940"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cs="Times New Roman"/>
                <w:color w:val="000000"/>
                <w:sz w:val="20"/>
                <w:szCs w:val="20"/>
              </w:rPr>
              <w:t>Ecolodges</w:t>
            </w:r>
          </w:p>
          <w:p w14:paraId="284CBF33" w14:textId="77777777" w:rsidR="007250DC" w:rsidRPr="007250DC" w:rsidRDefault="007250DC" w:rsidP="007250DC">
            <w:pPr>
              <w:spacing w:before="0" w:after="0" w:line="240" w:lineRule="auto"/>
              <w:rPr>
                <w:rFonts w:ascii="Garamond" w:hAnsi="Garamond" w:cs="Times New Roman"/>
                <w:color w:val="000000"/>
                <w:sz w:val="20"/>
                <w:szCs w:val="20"/>
              </w:rPr>
            </w:pPr>
          </w:p>
          <w:p w14:paraId="234FBDED" w14:textId="77777777" w:rsidR="007250DC" w:rsidRPr="007250DC" w:rsidRDefault="007250DC" w:rsidP="007250DC">
            <w:pPr>
              <w:spacing w:before="0" w:after="0" w:line="240" w:lineRule="auto"/>
              <w:rPr>
                <w:rFonts w:ascii="Garamond" w:hAnsi="Garamond" w:cs="Times New Roman"/>
                <w:color w:val="000000"/>
                <w:sz w:val="20"/>
                <w:szCs w:val="20"/>
              </w:rPr>
            </w:pPr>
          </w:p>
          <w:p w14:paraId="453601FE" w14:textId="77777777" w:rsidR="007250DC" w:rsidRPr="007250DC" w:rsidRDefault="007250DC" w:rsidP="007250DC">
            <w:pPr>
              <w:spacing w:before="0" w:after="0" w:line="240" w:lineRule="auto"/>
              <w:rPr>
                <w:rFonts w:ascii="Garamond" w:hAnsi="Garamond"/>
                <w:sz w:val="20"/>
                <w:szCs w:val="20"/>
              </w:rPr>
            </w:pPr>
          </w:p>
        </w:tc>
        <w:tc>
          <w:tcPr>
            <w:tcW w:w="4536" w:type="dxa"/>
            <w:vAlign w:val="bottom"/>
          </w:tcPr>
          <w:p w14:paraId="43F73F6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http://www.ifc.org/wps/wcm/connect/topics_ext_content/ifc_external_corporate_site/ifc+sustainability/publications/publications_report_ecolodges__wci__1319576869279</w:t>
            </w:r>
          </w:p>
        </w:tc>
      </w:tr>
      <w:tr w:rsidR="007250DC" w:rsidRPr="007250DC" w14:paraId="1A41211C" w14:textId="77777777" w:rsidTr="008325D8">
        <w:tc>
          <w:tcPr>
            <w:tcW w:w="4786" w:type="dxa"/>
          </w:tcPr>
          <w:p w14:paraId="03CA30E9"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 xml:space="preserve">Indicators of sustainable tourism development </w:t>
            </w:r>
          </w:p>
        </w:tc>
        <w:tc>
          <w:tcPr>
            <w:tcW w:w="4536" w:type="dxa"/>
          </w:tcPr>
          <w:p w14:paraId="7EC3026E"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cs="Times New Roman"/>
                <w:sz w:val="20"/>
                <w:szCs w:val="20"/>
              </w:rPr>
              <w:t>http://www.un.org/esa/sustdev/natlinfo/indicators/guidelines.pdf</w:t>
            </w:r>
          </w:p>
        </w:tc>
      </w:tr>
      <w:tr w:rsidR="007250DC" w:rsidRPr="007250DC" w14:paraId="262AE53A" w14:textId="77777777" w:rsidTr="008325D8">
        <w:tc>
          <w:tcPr>
            <w:tcW w:w="4786" w:type="dxa"/>
          </w:tcPr>
          <w:p w14:paraId="4F9FFF6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Indicators of Sustainable Development for Tourism Destinations</w:t>
            </w:r>
          </w:p>
        </w:tc>
        <w:tc>
          <w:tcPr>
            <w:tcW w:w="4536" w:type="dxa"/>
          </w:tcPr>
          <w:p w14:paraId="48169A51" w14:textId="77777777" w:rsidR="007250DC" w:rsidRPr="007250DC" w:rsidRDefault="00500A2A" w:rsidP="007250DC">
            <w:pPr>
              <w:spacing w:before="0" w:after="0" w:line="240" w:lineRule="auto"/>
              <w:rPr>
                <w:rFonts w:ascii="Garamond" w:hAnsi="Garamond" w:cs="Times New Roman"/>
                <w:sz w:val="20"/>
                <w:szCs w:val="20"/>
              </w:rPr>
            </w:pPr>
            <w:hyperlink r:id="rId161" w:history="1">
              <w:r w:rsidR="007250DC" w:rsidRPr="007250DC">
                <w:rPr>
                  <w:rStyle w:val="Hyperlink"/>
                  <w:rFonts w:ascii="Garamond" w:hAnsi="Garamond"/>
                  <w:sz w:val="20"/>
                  <w:szCs w:val="20"/>
                </w:rPr>
                <w:t>http://www.e-</w:t>
              </w:r>
            </w:hyperlink>
            <w:r w:rsidR="007250DC" w:rsidRPr="007250DC">
              <w:rPr>
                <w:rFonts w:ascii="Garamond" w:hAnsi="Garamond" w:cs="Times New Roman"/>
                <w:sz w:val="20"/>
                <w:szCs w:val="20"/>
              </w:rPr>
              <w:t>unwto.org/content/x53g07/?p=c1a8815e60d44ea1b5e202bd799548f2&amp;pi=0&amp;hl=u</w:t>
            </w:r>
          </w:p>
        </w:tc>
      </w:tr>
    </w:tbl>
    <w:p w14:paraId="4B0B0CC2" w14:textId="77777777" w:rsidR="007250DC" w:rsidRPr="007250DC" w:rsidRDefault="007250DC" w:rsidP="007250DC">
      <w:pPr>
        <w:spacing w:before="0" w:after="0" w:line="240" w:lineRule="auto"/>
        <w:rPr>
          <w:rFonts w:ascii="Garamond" w:hAnsi="Garamond"/>
          <w:sz w:val="20"/>
          <w:szCs w:val="20"/>
        </w:rPr>
      </w:pPr>
    </w:p>
    <w:p w14:paraId="01F545C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Stakeholder engagement</w:t>
      </w:r>
    </w:p>
    <w:tbl>
      <w:tblPr>
        <w:tblStyle w:val="TableGrid"/>
        <w:tblW w:w="9322" w:type="dxa"/>
        <w:tblLayout w:type="fixed"/>
        <w:tblLook w:val="04A0" w:firstRow="1" w:lastRow="0" w:firstColumn="1" w:lastColumn="0" w:noHBand="0" w:noVBand="1"/>
      </w:tblPr>
      <w:tblGrid>
        <w:gridCol w:w="4786"/>
        <w:gridCol w:w="4536"/>
      </w:tblGrid>
      <w:tr w:rsidR="007250DC" w:rsidRPr="007250DC" w14:paraId="77175D4A" w14:textId="77777777" w:rsidTr="008325D8">
        <w:tc>
          <w:tcPr>
            <w:tcW w:w="4786" w:type="dxa"/>
          </w:tcPr>
          <w:p w14:paraId="3982617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Stakeholder Engagement: A Good Practice Handbook for Companies Doing Business in Emerging Markets </w:t>
            </w:r>
          </w:p>
        </w:tc>
        <w:tc>
          <w:tcPr>
            <w:tcW w:w="4536" w:type="dxa"/>
          </w:tcPr>
          <w:p w14:paraId="59E31131" w14:textId="77777777" w:rsidR="007250DC" w:rsidRPr="007250DC" w:rsidRDefault="00500A2A" w:rsidP="007250DC">
            <w:pPr>
              <w:spacing w:before="0" w:after="0" w:line="240" w:lineRule="auto"/>
              <w:rPr>
                <w:rFonts w:ascii="Garamond" w:hAnsi="Garamond"/>
                <w:sz w:val="20"/>
                <w:szCs w:val="20"/>
              </w:rPr>
            </w:pPr>
            <w:hyperlink r:id="rId162" w:history="1">
              <w:r w:rsidR="007250DC" w:rsidRPr="007250DC">
                <w:rPr>
                  <w:rStyle w:val="Hyperlink"/>
                  <w:rFonts w:ascii="Garamond" w:hAnsi="Garamond"/>
                  <w:sz w:val="20"/>
                  <w:szCs w:val="20"/>
                </w:rPr>
                <w:t>http://www.ifc.org/wps/wcm/connect/938f1a0048855805beacfe6a6515bb18/IFC_StakeholderEngagement.pdf?MOD=AJPERES</w:t>
              </w:r>
            </w:hyperlink>
            <w:r w:rsidR="007250DC" w:rsidRPr="007250DC">
              <w:rPr>
                <w:rFonts w:ascii="Garamond" w:hAnsi="Garamond"/>
                <w:sz w:val="20"/>
                <w:szCs w:val="20"/>
              </w:rPr>
              <w:t xml:space="preserve"> </w:t>
            </w:r>
          </w:p>
        </w:tc>
      </w:tr>
    </w:tbl>
    <w:p w14:paraId="3349AF84" w14:textId="77777777" w:rsidR="007250DC" w:rsidRDefault="007250DC" w:rsidP="007250DC">
      <w:pPr>
        <w:spacing w:before="0" w:after="0" w:line="240" w:lineRule="auto"/>
        <w:rPr>
          <w:rFonts w:ascii="Garamond" w:hAnsi="Garamond"/>
          <w:sz w:val="20"/>
          <w:szCs w:val="20"/>
        </w:rPr>
      </w:pPr>
    </w:p>
    <w:p w14:paraId="0CFE958F" w14:textId="77777777" w:rsidR="000128F9" w:rsidRPr="00933DC3" w:rsidRDefault="000128F9" w:rsidP="000128F9">
      <w:pPr>
        <w:pStyle w:val="ListParagraph"/>
        <w:spacing w:before="0" w:after="0" w:line="240" w:lineRule="auto"/>
        <w:jc w:val="left"/>
        <w:rPr>
          <w:rFonts w:ascii="Garamond" w:hAnsi="Garamond" w:cs="Times"/>
        </w:rPr>
      </w:pPr>
    </w:p>
    <w:p w14:paraId="1DBC516A" w14:textId="6E355848" w:rsidR="000128F9" w:rsidRDefault="000128F9" w:rsidP="000128F9">
      <w:pPr>
        <w:pStyle w:val="Heading3"/>
        <w:rPr>
          <w:rFonts w:ascii="Garamond" w:hAnsi="Garamond"/>
        </w:rPr>
      </w:pPr>
      <w:bookmarkStart w:id="78" w:name="_Toc269636354"/>
      <w:r>
        <w:rPr>
          <w:rFonts w:ascii="Garamond" w:hAnsi="Garamond"/>
        </w:rPr>
        <w:t>Step 2: Design and feasibility</w:t>
      </w:r>
      <w:bookmarkEnd w:id="78"/>
    </w:p>
    <w:p w14:paraId="5C8C0767" w14:textId="77777777" w:rsidR="000128F9" w:rsidRPr="007250DC" w:rsidRDefault="000128F9" w:rsidP="000128F9">
      <w:pPr>
        <w:spacing w:before="0" w:after="0" w:line="240" w:lineRule="auto"/>
        <w:rPr>
          <w:rFonts w:ascii="Garamond" w:hAnsi="Garamond"/>
          <w:sz w:val="20"/>
          <w:szCs w:val="20"/>
        </w:rPr>
      </w:pPr>
    </w:p>
    <w:p w14:paraId="05A39357" w14:textId="77777777" w:rsidR="007250DC" w:rsidRPr="007250DC" w:rsidRDefault="007250DC" w:rsidP="007250DC">
      <w:pPr>
        <w:spacing w:before="0" w:after="0" w:line="240" w:lineRule="auto"/>
        <w:rPr>
          <w:rFonts w:ascii="Garamond" w:hAnsi="Garamond"/>
          <w:sz w:val="20"/>
          <w:szCs w:val="20"/>
        </w:rPr>
      </w:pPr>
    </w:p>
    <w:p w14:paraId="6F58357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Policy and legislative framework</w:t>
      </w:r>
    </w:p>
    <w:p w14:paraId="2607ED4D"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613E383B" w14:textId="77777777" w:rsidTr="008325D8">
        <w:tc>
          <w:tcPr>
            <w:tcW w:w="4786" w:type="dxa"/>
          </w:tcPr>
          <w:p w14:paraId="19275926"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Legal frameworks for concessions: PPP in infrastructure Resource Centre, World Bank</w:t>
            </w:r>
          </w:p>
        </w:tc>
        <w:tc>
          <w:tcPr>
            <w:tcW w:w="4536" w:type="dxa"/>
          </w:tcPr>
          <w:p w14:paraId="1593C6C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http://ppp.worldbank.org/public-private-partnership/legislation-regulation/laws/ppp-and-concession-laws</w:t>
            </w:r>
          </w:p>
        </w:tc>
      </w:tr>
    </w:tbl>
    <w:p w14:paraId="408C1312" w14:textId="77777777" w:rsidR="007250DC" w:rsidRPr="007250DC" w:rsidRDefault="007250DC" w:rsidP="007250DC">
      <w:pPr>
        <w:spacing w:before="0" w:after="0" w:line="240" w:lineRule="auto"/>
        <w:rPr>
          <w:rFonts w:ascii="Garamond" w:hAnsi="Garamond"/>
          <w:sz w:val="20"/>
          <w:szCs w:val="20"/>
        </w:rPr>
      </w:pPr>
    </w:p>
    <w:p w14:paraId="58C47B7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Spatial planning</w:t>
      </w:r>
    </w:p>
    <w:p w14:paraId="04C193F2"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39D63BE" w14:textId="77777777" w:rsidTr="008325D8">
        <w:tc>
          <w:tcPr>
            <w:tcW w:w="4786" w:type="dxa"/>
          </w:tcPr>
          <w:p w14:paraId="11556D3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Site selection: approach to investment facilitation in Madagascar</w:t>
            </w:r>
          </w:p>
        </w:tc>
        <w:tc>
          <w:tcPr>
            <w:tcW w:w="4536" w:type="dxa"/>
          </w:tcPr>
          <w:p w14:paraId="154C1A65" w14:textId="77777777" w:rsidR="007250DC" w:rsidRPr="007250DC" w:rsidRDefault="00500A2A" w:rsidP="007250DC">
            <w:pPr>
              <w:spacing w:before="0" w:after="0" w:line="240" w:lineRule="auto"/>
              <w:rPr>
                <w:rFonts w:ascii="Garamond" w:hAnsi="Garamond"/>
                <w:sz w:val="20"/>
                <w:szCs w:val="20"/>
              </w:rPr>
            </w:pPr>
            <w:hyperlink r:id="rId163" w:history="1">
              <w:r w:rsidR="007250DC" w:rsidRPr="007250DC">
                <w:rPr>
                  <w:rStyle w:val="Hyperlink"/>
                  <w:rFonts w:ascii="Garamond" w:hAnsi="Garamond"/>
                  <w:sz w:val="20"/>
                  <w:szCs w:val="20"/>
                </w:rPr>
                <w:t>http://tourisminvest.org/_manual/downloads/Approach_to_Investment_Facilitation.pdf</w:t>
              </w:r>
            </w:hyperlink>
          </w:p>
        </w:tc>
      </w:tr>
      <w:tr w:rsidR="007250DC" w:rsidRPr="007250DC" w14:paraId="25C5870F" w14:textId="77777777" w:rsidTr="008325D8">
        <w:tc>
          <w:tcPr>
            <w:tcW w:w="4786" w:type="dxa"/>
          </w:tcPr>
          <w:p w14:paraId="68083BB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Park site selection report in Madagascar</w:t>
            </w:r>
          </w:p>
        </w:tc>
        <w:tc>
          <w:tcPr>
            <w:tcW w:w="4536" w:type="dxa"/>
          </w:tcPr>
          <w:p w14:paraId="1EE72D6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http://tourisminvest.org/_manual/downloads/Park_Site_Selection_Report.pdf</w:t>
            </w:r>
          </w:p>
        </w:tc>
      </w:tr>
      <w:tr w:rsidR="007250DC" w:rsidRPr="007250DC" w14:paraId="20FD3D4A" w14:textId="77777777" w:rsidTr="008325D8">
        <w:tc>
          <w:tcPr>
            <w:tcW w:w="4786" w:type="dxa"/>
          </w:tcPr>
          <w:p w14:paraId="25DB1E9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Guidance note on land acquisition and voluntary </w:t>
            </w:r>
            <w:r w:rsidRPr="007250DC">
              <w:rPr>
                <w:rFonts w:ascii="Garamond" w:hAnsi="Garamond"/>
                <w:sz w:val="20"/>
                <w:szCs w:val="20"/>
              </w:rPr>
              <w:lastRenderedPageBreak/>
              <w:t>resettlement</w:t>
            </w:r>
          </w:p>
        </w:tc>
        <w:tc>
          <w:tcPr>
            <w:tcW w:w="4536" w:type="dxa"/>
          </w:tcPr>
          <w:p w14:paraId="6231866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lastRenderedPageBreak/>
              <w:t>http://tourisminvest.org/_manual/downloads/WBG_</w:t>
            </w:r>
            <w:r w:rsidRPr="007250DC">
              <w:rPr>
                <w:rFonts w:ascii="Garamond" w:hAnsi="Garamond"/>
                <w:sz w:val="20"/>
                <w:szCs w:val="20"/>
              </w:rPr>
              <w:lastRenderedPageBreak/>
              <w:t>Guidance_Note_Land_Acquisition.pdf</w:t>
            </w:r>
          </w:p>
        </w:tc>
      </w:tr>
    </w:tbl>
    <w:p w14:paraId="4DD3089F" w14:textId="77777777" w:rsidR="007250DC" w:rsidRPr="007250DC" w:rsidRDefault="007250DC" w:rsidP="007250DC">
      <w:pPr>
        <w:spacing w:before="0" w:after="0" w:line="240" w:lineRule="auto"/>
        <w:rPr>
          <w:rFonts w:ascii="Garamond" w:hAnsi="Garamond"/>
          <w:sz w:val="20"/>
          <w:szCs w:val="20"/>
        </w:rPr>
      </w:pPr>
    </w:p>
    <w:p w14:paraId="33FEA7BC"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Tourism product types</w:t>
      </w:r>
    </w:p>
    <w:p w14:paraId="52491730" w14:textId="77777777" w:rsidR="00F47607" w:rsidRDefault="00F47607" w:rsidP="00F47607">
      <w:pPr>
        <w:spacing w:before="0" w:after="0" w:line="240" w:lineRule="auto"/>
        <w:rPr>
          <w:rFonts w:ascii="Garamond" w:hAnsi="Garamond"/>
          <w:sz w:val="20"/>
          <w:szCs w:val="20"/>
        </w:rPr>
      </w:pPr>
      <w:r w:rsidRPr="007250DC">
        <w:rPr>
          <w:rFonts w:ascii="Garamond" w:hAnsi="Garamond"/>
          <w:sz w:val="20"/>
          <w:szCs w:val="20"/>
          <w:highlight w:val="yellow"/>
        </w:rPr>
        <w:t>TBA</w:t>
      </w:r>
    </w:p>
    <w:p w14:paraId="4B75A752" w14:textId="77777777" w:rsidR="007250DC" w:rsidRPr="007250DC" w:rsidRDefault="007250DC" w:rsidP="007250DC">
      <w:pPr>
        <w:spacing w:before="0" w:after="0" w:line="240" w:lineRule="auto"/>
        <w:rPr>
          <w:rFonts w:ascii="Garamond" w:hAnsi="Garamond"/>
          <w:sz w:val="20"/>
          <w:szCs w:val="20"/>
        </w:rPr>
      </w:pPr>
    </w:p>
    <w:p w14:paraId="54A8AC60" w14:textId="6023B9BD" w:rsidR="00F47607" w:rsidRPr="00FC1EDE" w:rsidRDefault="007250DC" w:rsidP="00F47607">
      <w:pPr>
        <w:spacing w:before="0" w:after="0" w:line="240" w:lineRule="auto"/>
        <w:rPr>
          <w:rFonts w:ascii="Garamond" w:hAnsi="Garamond"/>
          <w:b/>
          <w:sz w:val="20"/>
          <w:szCs w:val="20"/>
        </w:rPr>
      </w:pPr>
      <w:r w:rsidRPr="007250DC">
        <w:rPr>
          <w:rFonts w:ascii="Garamond" w:hAnsi="Garamond"/>
          <w:b/>
          <w:sz w:val="20"/>
          <w:szCs w:val="20"/>
        </w:rPr>
        <w:t>Concession models</w:t>
      </w:r>
    </w:p>
    <w:p w14:paraId="7DBBBF23" w14:textId="77777777" w:rsidR="00FC1EDE" w:rsidRDefault="00FC1EDE" w:rsidP="00F47607">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8325D8" w:rsidRPr="007250DC" w14:paraId="4C167A6A" w14:textId="77777777" w:rsidTr="00022CBA">
        <w:tc>
          <w:tcPr>
            <w:tcW w:w="4786" w:type="dxa"/>
          </w:tcPr>
          <w:p w14:paraId="6C6F0148" w14:textId="5B03AE4A" w:rsidR="008325D8" w:rsidRPr="007250DC" w:rsidRDefault="008325D8" w:rsidP="00022CBA">
            <w:pPr>
              <w:spacing w:before="0" w:after="0" w:line="240" w:lineRule="auto"/>
              <w:rPr>
                <w:rFonts w:ascii="Garamond" w:hAnsi="Garamond"/>
                <w:sz w:val="20"/>
                <w:szCs w:val="20"/>
              </w:rPr>
            </w:pPr>
            <w:r w:rsidRPr="007250DC">
              <w:rPr>
                <w:rFonts w:ascii="Garamond" w:hAnsi="Garamond"/>
                <w:sz w:val="20"/>
                <w:szCs w:val="20"/>
              </w:rPr>
              <w:t>PPP in infrastructure Resource Centre, World Bank</w:t>
            </w:r>
          </w:p>
        </w:tc>
        <w:tc>
          <w:tcPr>
            <w:tcW w:w="4536" w:type="dxa"/>
          </w:tcPr>
          <w:p w14:paraId="79910916" w14:textId="01136A87" w:rsidR="008325D8" w:rsidRPr="007250DC" w:rsidRDefault="00500A2A" w:rsidP="00022CBA">
            <w:pPr>
              <w:spacing w:before="0" w:after="0" w:line="240" w:lineRule="auto"/>
              <w:rPr>
                <w:rFonts w:ascii="Garamond" w:hAnsi="Garamond"/>
                <w:color w:val="4F81BD" w:themeColor="accent1"/>
                <w:sz w:val="20"/>
                <w:szCs w:val="20"/>
              </w:rPr>
            </w:pPr>
            <w:hyperlink r:id="rId164" w:history="1">
              <w:r w:rsidR="008325D8" w:rsidRPr="007250DC">
                <w:rPr>
                  <w:rStyle w:val="Hyperlink"/>
                  <w:rFonts w:ascii="Garamond" w:hAnsi="Garamond"/>
                  <w:sz w:val="20"/>
                  <w:szCs w:val="20"/>
                </w:rPr>
                <w:t>http://ppp.worldbank.org</w:t>
              </w:r>
            </w:hyperlink>
          </w:p>
        </w:tc>
      </w:tr>
    </w:tbl>
    <w:p w14:paraId="7486A4D9" w14:textId="77777777" w:rsidR="008325D8" w:rsidRDefault="008325D8" w:rsidP="00F47607">
      <w:pPr>
        <w:spacing w:before="0" w:after="0" w:line="240" w:lineRule="auto"/>
        <w:rPr>
          <w:rFonts w:ascii="Garamond" w:hAnsi="Garamond"/>
          <w:sz w:val="20"/>
          <w:szCs w:val="20"/>
        </w:rPr>
      </w:pPr>
    </w:p>
    <w:p w14:paraId="631848AD" w14:textId="77777777" w:rsidR="007250DC" w:rsidRPr="007250DC" w:rsidRDefault="007250DC" w:rsidP="007250DC">
      <w:pPr>
        <w:spacing w:before="0" w:after="0" w:line="240" w:lineRule="auto"/>
        <w:rPr>
          <w:rFonts w:ascii="Garamond" w:hAnsi="Garamond"/>
          <w:sz w:val="20"/>
          <w:szCs w:val="20"/>
        </w:rPr>
      </w:pPr>
    </w:p>
    <w:p w14:paraId="35A8FEDF"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Viability and market assessment</w:t>
      </w:r>
    </w:p>
    <w:p w14:paraId="2F468BAD"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CFDB417" w14:textId="77777777" w:rsidTr="00F47607">
        <w:tc>
          <w:tcPr>
            <w:tcW w:w="4786" w:type="dxa"/>
          </w:tcPr>
          <w:p w14:paraId="40693D7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Template investor ‘longlist’ communication table</w:t>
            </w:r>
          </w:p>
        </w:tc>
        <w:tc>
          <w:tcPr>
            <w:tcW w:w="4536" w:type="dxa"/>
          </w:tcPr>
          <w:p w14:paraId="206710D6" w14:textId="77777777" w:rsidR="007250DC" w:rsidRPr="007250DC" w:rsidRDefault="00500A2A" w:rsidP="007250DC">
            <w:pPr>
              <w:spacing w:before="0" w:after="0" w:line="240" w:lineRule="auto"/>
              <w:rPr>
                <w:rFonts w:ascii="Garamond" w:hAnsi="Garamond"/>
                <w:color w:val="4F81BD" w:themeColor="accent1"/>
                <w:sz w:val="20"/>
                <w:szCs w:val="20"/>
              </w:rPr>
            </w:pPr>
            <w:hyperlink r:id="rId165" w:history="1">
              <w:r w:rsidR="007250DC" w:rsidRPr="007250DC">
                <w:rPr>
                  <w:rStyle w:val="Hyperlink"/>
                  <w:rFonts w:ascii="Garamond" w:hAnsi="Garamond"/>
                  <w:sz w:val="20"/>
                  <w:szCs w:val="20"/>
                </w:rPr>
                <w:t>http://tourisminvest.org/_manual/downloads/Template_for_annotated_investor_long-list.xls</w:t>
              </w:r>
            </w:hyperlink>
          </w:p>
        </w:tc>
      </w:tr>
      <w:tr w:rsidR="007250DC" w:rsidRPr="007250DC" w14:paraId="103F4572" w14:textId="77777777" w:rsidTr="00F47607">
        <w:tc>
          <w:tcPr>
            <w:tcW w:w="4786" w:type="dxa"/>
          </w:tcPr>
          <w:p w14:paraId="1BF2A1B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Linking communities, tourism &amp; conservation: A tourism assessment process</w:t>
            </w:r>
          </w:p>
          <w:p w14:paraId="463378C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 including tools for market demand analysis, supply and competitiveness, human capacity, biodiversity footprint, cost-benefit analysis and others. </w:t>
            </w:r>
          </w:p>
        </w:tc>
        <w:tc>
          <w:tcPr>
            <w:tcW w:w="4536" w:type="dxa"/>
          </w:tcPr>
          <w:p w14:paraId="3FADF93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http://www.gwutourism.org/images_comm/TAPmanual_2meg.pdf</w:t>
            </w:r>
          </w:p>
        </w:tc>
      </w:tr>
      <w:tr w:rsidR="007250DC" w:rsidRPr="007250DC" w14:paraId="2D03FF52" w14:textId="77777777" w:rsidTr="00F47607">
        <w:tc>
          <w:tcPr>
            <w:tcW w:w="4786" w:type="dxa"/>
          </w:tcPr>
          <w:p w14:paraId="6657E74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IFC Hotel investment brochure: Developing tourism and business infrastructure</w:t>
            </w:r>
          </w:p>
        </w:tc>
        <w:tc>
          <w:tcPr>
            <w:tcW w:w="4536" w:type="dxa"/>
          </w:tcPr>
          <w:p w14:paraId="55515A5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http://tourisminvest.org/_manual/downloads/IFC-Hotel-Investment-Brochure-2009.pdf</w:t>
            </w:r>
          </w:p>
        </w:tc>
      </w:tr>
    </w:tbl>
    <w:p w14:paraId="3D2CE556" w14:textId="77777777" w:rsidR="007250DC" w:rsidRPr="007250DC" w:rsidRDefault="007250DC" w:rsidP="007250DC">
      <w:pPr>
        <w:spacing w:before="0" w:after="0" w:line="240" w:lineRule="auto"/>
        <w:rPr>
          <w:rFonts w:ascii="Garamond" w:hAnsi="Garamond"/>
          <w:sz w:val="20"/>
          <w:szCs w:val="20"/>
        </w:rPr>
      </w:pPr>
    </w:p>
    <w:tbl>
      <w:tblPr>
        <w:tblW w:w="9322" w:type="dxa"/>
        <w:tblBorders>
          <w:left w:val="nil"/>
          <w:right w:val="nil"/>
        </w:tblBorders>
        <w:tblLayout w:type="fixed"/>
        <w:tblLook w:val="0000" w:firstRow="0" w:lastRow="0" w:firstColumn="0" w:lastColumn="0" w:noHBand="0" w:noVBand="0"/>
      </w:tblPr>
      <w:tblGrid>
        <w:gridCol w:w="4928"/>
        <w:gridCol w:w="4394"/>
      </w:tblGrid>
      <w:tr w:rsidR="00F47607" w:rsidRPr="007250DC" w14:paraId="7DBC14CE"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2FF7EB" w14:textId="33771E65" w:rsidR="00F47607" w:rsidRPr="007250DC" w:rsidRDefault="00F47607" w:rsidP="007250DC">
            <w:pPr>
              <w:spacing w:before="0" w:after="0" w:line="240" w:lineRule="auto"/>
              <w:rPr>
                <w:rFonts w:ascii="Garamond" w:hAnsi="Garamond"/>
                <w:b/>
                <w:sz w:val="20"/>
                <w:szCs w:val="20"/>
              </w:rPr>
            </w:pPr>
            <w:r>
              <w:rPr>
                <w:rFonts w:ascii="Garamond" w:hAnsi="Garamond"/>
                <w:b/>
                <w:sz w:val="20"/>
                <w:szCs w:val="20"/>
              </w:rPr>
              <w:t>Concession opportunities</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46C337" w14:textId="77777777" w:rsidR="00F47607" w:rsidRPr="007250DC" w:rsidRDefault="00F47607" w:rsidP="007250DC">
            <w:pPr>
              <w:spacing w:before="0" w:after="0" w:line="240" w:lineRule="auto"/>
              <w:rPr>
                <w:rFonts w:ascii="Garamond" w:hAnsi="Garamond"/>
                <w:b/>
                <w:sz w:val="20"/>
                <w:szCs w:val="20"/>
              </w:rPr>
            </w:pPr>
          </w:p>
        </w:tc>
      </w:tr>
      <w:tr w:rsidR="007250DC" w:rsidRPr="007250DC" w14:paraId="505BDAB3"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66EB2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58525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Possible sources</w:t>
            </w:r>
          </w:p>
        </w:tc>
      </w:tr>
      <w:tr w:rsidR="007250DC" w:rsidRPr="007250DC" w14:paraId="7CD1CFA3"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E1F1F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Demand data:</w:t>
            </w:r>
          </w:p>
          <w:p w14:paraId="6D0CBB57"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Foreign tourist arrivals, source markets, yearly and  monthly totals, trends, global ranking </w:t>
            </w:r>
          </w:p>
          <w:p w14:paraId="1C7BE960"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Arrivals by main tourism centers in country </w:t>
            </w:r>
          </w:p>
          <w:p w14:paraId="58B4C996"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Profile of tourists (such as type, age range, duration  of stay, typical spend per night, repeat vs. one-off, key  interests) </w:t>
            </w:r>
          </w:p>
          <w:p w14:paraId="2AA664CC"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Domestic tourism trends and data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75AFC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59E4BAE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36E2514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Statistics agency </w:t>
            </w:r>
          </w:p>
          <w:p w14:paraId="2355278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14DB116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Airport administration </w:t>
            </w:r>
          </w:p>
          <w:p w14:paraId="3336A92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subnational authorities </w:t>
            </w:r>
          </w:p>
          <w:p w14:paraId="5305159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Interviews and survey questionnaires to existing tourism  operators </w:t>
            </w:r>
          </w:p>
          <w:p w14:paraId="051B01F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78269F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International Congress and Convention Association  (ICCA) for the Meetings, Incentives, Conferencing, Exhibitions (MICE) subsector </w:t>
            </w:r>
          </w:p>
        </w:tc>
      </w:tr>
      <w:tr w:rsidR="007250DC" w:rsidRPr="007250DC" w14:paraId="22124C12"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1817955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Supply data</w:t>
            </w:r>
          </w:p>
          <w:p w14:paraId="5BC88DC2"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Accommodation offering (number of establishments, rooms and  beds nationally, by region, by main tourism centers, by  hotel segment and star rating, and so on) </w:t>
            </w:r>
          </w:p>
          <w:p w14:paraId="37F327F0"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International hotel chains, reputable brands; recent investments and mergers and acquisitions involving  foreign capital </w:t>
            </w:r>
          </w:p>
          <w:p w14:paraId="06500193"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Profiles of select existing projects (number of rooms,  facilities, main clientele, occupancy rates, Average Daily Rate [ADR], Revenue per Available Room [RevPAR], Gross Operating Profit per Available Room [GOPPAR], status and projects, consumer/industry feedback) </w:t>
            </w:r>
          </w:p>
          <w:p w14:paraId="465920A5"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Planned new tourism projects (under construction or planned)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6446354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476CEB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0CE622B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Statistics agency </w:t>
            </w:r>
          </w:p>
          <w:p w14:paraId="73CEC2A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5E0DC03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Interviews and survey questionnaires to existing tourism  operators </w:t>
            </w:r>
          </w:p>
          <w:p w14:paraId="5094692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6893EA11"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TripAdvisor and similar sites </w:t>
            </w:r>
          </w:p>
          <w:p w14:paraId="0D877EA6"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IPI pipeline </w:t>
            </w:r>
          </w:p>
        </w:tc>
      </w:tr>
      <w:tr w:rsidR="007250DC" w:rsidRPr="007250DC" w14:paraId="304CF532"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FD16F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 xml:space="preserve">Individual site data: </w:t>
            </w:r>
          </w:p>
          <w:p w14:paraId="326800EA"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Best areas to find sites with description and rationale,  relevant contacts including real estate brokers who may  help identify property </w:t>
            </w:r>
          </w:p>
          <w:p w14:paraId="5AF7E766"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Individual site profiles, location, highlights, photos,  assets inventories, amenities, relevant acquisition procedures, price indication or price range, and any </w:t>
            </w:r>
            <w:r w:rsidRPr="007250DC">
              <w:rPr>
                <w:rFonts w:ascii="Garamond" w:hAnsi="Garamond"/>
                <w:color w:val="131313"/>
                <w:sz w:val="20"/>
                <w:szCs w:val="20"/>
              </w:rPr>
              <w:lastRenderedPageBreak/>
              <w:t xml:space="preserve">applicable fiscal and financing incentives </w:t>
            </w:r>
          </w:p>
          <w:p w14:paraId="73751E73"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Relevant local demand drivers, infrastructures, major development plans, and so forth </w:t>
            </w:r>
          </w:p>
          <w:p w14:paraId="6F1E1F48"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Site/areas comparisons with relevant comparable figures (such as local/subnational macro-data where available, number of visitors, number of establishments, rooms and beds, occupancy, RevPAR)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A2F095"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lastRenderedPageBreak/>
              <w:t xml:space="preserve">National ministry in charge of tourism </w:t>
            </w:r>
          </w:p>
          <w:p w14:paraId="12F485D5"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49BF000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3F715A4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land or other relevant  land-owning ministries, possibly the natural parks  authority </w:t>
            </w:r>
          </w:p>
          <w:p w14:paraId="7AA1E73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Subnational government authorities in key tourism </w:t>
            </w:r>
            <w:r w:rsidRPr="007250DC">
              <w:rPr>
                <w:rFonts w:ascii="Garamond" w:hAnsi="Garamond"/>
                <w:color w:val="131313"/>
                <w:sz w:val="20"/>
                <w:szCs w:val="20"/>
              </w:rPr>
              <w:lastRenderedPageBreak/>
              <w:t xml:space="preserve"> centers </w:t>
            </w:r>
          </w:p>
          <w:p w14:paraId="302FAEA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Real estate brokers </w:t>
            </w:r>
          </w:p>
        </w:tc>
      </w:tr>
      <w:tr w:rsidR="007250DC" w:rsidRPr="007250DC" w14:paraId="63FBA5FC" w14:textId="77777777" w:rsidTr="00F47607">
        <w:tc>
          <w:tcPr>
            <w:tcW w:w="9322" w:type="dxa"/>
            <w:gridSpan w:val="2"/>
            <w:tcBorders>
              <w:bottom w:val="single" w:sz="4" w:space="0" w:color="auto"/>
            </w:tcBorders>
            <w:shd w:val="clear" w:color="auto" w:fill="FFFFFF"/>
            <w:tcMar>
              <w:top w:w="20" w:type="nil"/>
              <w:left w:w="20" w:type="nil"/>
              <w:bottom w:w="20" w:type="nil"/>
              <w:right w:w="20" w:type="nil"/>
            </w:tcMar>
            <w:vAlign w:val="center"/>
          </w:tcPr>
          <w:p w14:paraId="45E1014C" w14:textId="77777777" w:rsidR="007250DC" w:rsidRPr="007250DC" w:rsidRDefault="007250DC" w:rsidP="007250DC">
            <w:pPr>
              <w:spacing w:before="0" w:after="0" w:line="240" w:lineRule="auto"/>
              <w:rPr>
                <w:rFonts w:ascii="Garamond" w:hAnsi="Garamond"/>
                <w:sz w:val="20"/>
                <w:szCs w:val="20"/>
              </w:rPr>
            </w:pPr>
          </w:p>
        </w:tc>
      </w:tr>
      <w:tr w:rsidR="00F47607" w:rsidRPr="007250DC" w14:paraId="31DE0436"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F63EE96" w14:textId="2D544B3C" w:rsidR="00F47607" w:rsidRPr="007250DC" w:rsidRDefault="00F47607" w:rsidP="007250DC">
            <w:pPr>
              <w:spacing w:before="0" w:after="0" w:line="240" w:lineRule="auto"/>
              <w:rPr>
                <w:rFonts w:ascii="Garamond" w:hAnsi="Garamond"/>
                <w:b/>
                <w:sz w:val="20"/>
                <w:szCs w:val="20"/>
              </w:rPr>
            </w:pPr>
            <w:r>
              <w:rPr>
                <w:rFonts w:ascii="Garamond" w:hAnsi="Garamond"/>
                <w:b/>
                <w:sz w:val="20"/>
                <w:szCs w:val="20"/>
              </w:rPr>
              <w:t>Investment climate 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C4BEF1" w14:textId="77777777" w:rsidR="00F47607" w:rsidRPr="007250DC" w:rsidRDefault="00F47607" w:rsidP="007250DC">
            <w:pPr>
              <w:spacing w:before="0" w:after="0" w:line="240" w:lineRule="auto"/>
              <w:rPr>
                <w:rFonts w:ascii="Garamond" w:hAnsi="Garamond"/>
                <w:b/>
                <w:sz w:val="20"/>
                <w:szCs w:val="20"/>
              </w:rPr>
            </w:pPr>
          </w:p>
        </w:tc>
      </w:tr>
      <w:tr w:rsidR="007250DC" w:rsidRPr="007250DC" w14:paraId="07725713"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1BAB8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906B54"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Possible sources</w:t>
            </w:r>
          </w:p>
        </w:tc>
      </w:tr>
      <w:tr w:rsidR="007250DC" w:rsidRPr="007250DC" w14:paraId="785D7214"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48833A6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strategies </w:t>
            </w:r>
          </w:p>
          <w:p w14:paraId="6D64A50F" w14:textId="77777777" w:rsidR="007250DC" w:rsidRPr="007250DC" w:rsidRDefault="007250DC" w:rsidP="00F47607">
            <w:pPr>
              <w:pStyle w:val="ListParagraph"/>
              <w:numPr>
                <w:ilvl w:val="0"/>
                <w:numId w:val="52"/>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Master plans </w:t>
            </w:r>
          </w:p>
          <w:p w14:paraId="491D2543" w14:textId="77777777" w:rsidR="007250DC" w:rsidRPr="007250DC" w:rsidRDefault="007250DC" w:rsidP="00F47607">
            <w:pPr>
              <w:pStyle w:val="ListParagraph"/>
              <w:numPr>
                <w:ilvl w:val="0"/>
                <w:numId w:val="52"/>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Materials from key sector institutions such as the  Ministry of Tourism, Tourism Board, and National Tourist Office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E2B5C1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60780B7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tc>
      </w:tr>
      <w:tr w:rsidR="007250DC" w:rsidRPr="007250DC" w14:paraId="416D4A78"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EE67E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General and sector-specific government incentives relevant to the tourism subsector and to the specific opportunities being promoted</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149521"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1CAA042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tc>
      </w:tr>
      <w:tr w:rsidR="007250DC" w:rsidRPr="007250DC" w14:paraId="320119E2"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18CEA75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taxes </w:t>
            </w:r>
          </w:p>
          <w:p w14:paraId="4AF5EAC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Levies </w:t>
            </w:r>
          </w:p>
          <w:p w14:paraId="573D9788"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Customs duties (costs and procedures)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0EB2D2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0930D8F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355BDE77"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4AC0E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Database of construction suppliers with information on costs and quality including per m2 costs for a range of construction types </w:t>
            </w:r>
          </w:p>
          <w:p w14:paraId="21D6400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Construction permits and procedures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63CAC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Questionnaires and interviews with existing tourism project operators and construction suppliers </w:t>
            </w:r>
          </w:p>
          <w:p w14:paraId="1666F38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Database of construction suppliers, with notes on track record and relevant costs data </w:t>
            </w:r>
          </w:p>
          <w:p w14:paraId="06998DF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4BE6E86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and other relevant ministries </w:t>
            </w:r>
          </w:p>
          <w:p w14:paraId="746DDA4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0F3F7BEA"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723AB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Relevant license costs and procedures such as:</w:t>
            </w:r>
          </w:p>
          <w:p w14:paraId="594292BB"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Environmental impact license </w:t>
            </w:r>
          </w:p>
          <w:p w14:paraId="6A04087E"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Investment license </w:t>
            </w:r>
          </w:p>
          <w:p w14:paraId="37C6AD94"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Operating license </w:t>
            </w:r>
          </w:p>
          <w:p w14:paraId="5BFDDE81"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Hotel/restaurant/bar/liquor licenses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4DEF9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09EDC0A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0103F0F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tc>
      </w:tr>
      <w:tr w:rsidR="007250DC" w:rsidRPr="007250DC" w14:paraId="2063D04F"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81672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Utilities and communications data:</w:t>
            </w:r>
          </w:p>
          <w:p w14:paraId="2C5DEE8F"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Availability </w:t>
            </w:r>
          </w:p>
          <w:p w14:paraId="2A95C16D"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Providers </w:t>
            </w:r>
          </w:p>
          <w:p w14:paraId="4E2A29C8"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Costs </w:t>
            </w:r>
          </w:p>
          <w:p w14:paraId="4291C22C"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Procedures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D2F25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73A7E41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utility companies </w:t>
            </w:r>
          </w:p>
          <w:p w14:paraId="0AE5791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775023FD"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303B35D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Labor data:</w:t>
            </w:r>
          </w:p>
          <w:p w14:paraId="6A8CB24C"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Education levels </w:t>
            </w:r>
          </w:p>
          <w:p w14:paraId="32A0F4DD"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Literacy rates </w:t>
            </w:r>
          </w:p>
          <w:p w14:paraId="63DE814C"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Languages </w:t>
            </w:r>
          </w:p>
          <w:p w14:paraId="6A133798"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Employment in tourism segments, wages for various  functions and skill levels </w:t>
            </w:r>
          </w:p>
          <w:p w14:paraId="7E48AD23"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Available training programs </w:t>
            </w:r>
          </w:p>
          <w:p w14:paraId="45271FA3"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labor regulations; expatriate labor regulations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08F576E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4BDE2DD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259263D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Travel and Tourism Council database </w:t>
            </w:r>
          </w:p>
          <w:p w14:paraId="7C0DA9F6"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data </w:t>
            </w:r>
          </w:p>
          <w:p w14:paraId="333E47A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50D64691"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819BF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Support institutions relevant to the tourism sector that can serve as alternative sources of information (list, description, contact):</w:t>
            </w:r>
          </w:p>
          <w:p w14:paraId="7F485047"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143CAAEF"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Tourism Board </w:t>
            </w:r>
          </w:p>
          <w:p w14:paraId="76763F1B"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315FD610"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legal offices and consultancies </w:t>
            </w:r>
          </w:p>
          <w:p w14:paraId="44A3E2FA"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Financial institutions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476F61"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588BE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1A111FA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1DF915A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Chamber of Commerce </w:t>
            </w:r>
          </w:p>
          <w:p w14:paraId="77C161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sector associations </w:t>
            </w:r>
          </w:p>
        </w:tc>
      </w:tr>
      <w:tr w:rsidR="007250DC" w:rsidRPr="007250DC" w14:paraId="06C58870"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475E0C8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Inventory, description, and an electronic library of relevant laws as well as regulations</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E14824B"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3D767D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29B8636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21CB13DB"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lastRenderedPageBreak/>
              <w:t xml:space="preserve">World Bank Doing Business dataset </w:t>
            </w:r>
          </w:p>
        </w:tc>
      </w:tr>
    </w:tbl>
    <w:p w14:paraId="630FD5ED" w14:textId="77777777" w:rsidR="007250DC" w:rsidRPr="007250DC" w:rsidRDefault="007250DC" w:rsidP="007250DC">
      <w:pPr>
        <w:spacing w:before="0" w:after="0" w:line="240" w:lineRule="auto"/>
        <w:rPr>
          <w:rFonts w:ascii="Garamond" w:hAnsi="Garamond"/>
          <w:sz w:val="20"/>
          <w:szCs w:val="20"/>
        </w:rPr>
      </w:pPr>
    </w:p>
    <w:p w14:paraId="718EC980" w14:textId="77777777" w:rsidR="007250DC" w:rsidRPr="007250DC" w:rsidRDefault="007250DC" w:rsidP="007250DC">
      <w:pPr>
        <w:spacing w:before="0" w:after="0" w:line="240" w:lineRule="auto"/>
        <w:rPr>
          <w:rFonts w:ascii="Garamond" w:hAnsi="Garamond"/>
          <w:sz w:val="20"/>
          <w:szCs w:val="20"/>
        </w:rPr>
      </w:pPr>
    </w:p>
    <w:p w14:paraId="0DD51CA1"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Development impact</w:t>
      </w:r>
    </w:p>
    <w:p w14:paraId="43B7F9F8"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01A55AD6" w14:textId="77777777" w:rsidTr="00F47607">
        <w:tc>
          <w:tcPr>
            <w:tcW w:w="4928" w:type="dxa"/>
          </w:tcPr>
          <w:p w14:paraId="03FD82C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2F8DC98E" w14:textId="77777777" w:rsidR="007250DC" w:rsidRPr="007250DC" w:rsidRDefault="007250DC" w:rsidP="007250DC">
            <w:pPr>
              <w:spacing w:before="0" w:after="0" w:line="240" w:lineRule="auto"/>
              <w:rPr>
                <w:rFonts w:ascii="Garamond" w:hAnsi="Garamond"/>
                <w:sz w:val="20"/>
                <w:szCs w:val="20"/>
              </w:rPr>
            </w:pPr>
          </w:p>
        </w:tc>
        <w:tc>
          <w:tcPr>
            <w:tcW w:w="4394" w:type="dxa"/>
          </w:tcPr>
          <w:p w14:paraId="6D7A2333" w14:textId="77777777" w:rsidR="007250DC" w:rsidRPr="007250DC" w:rsidRDefault="00500A2A" w:rsidP="007250DC">
            <w:pPr>
              <w:spacing w:before="0" w:after="0" w:line="240" w:lineRule="auto"/>
              <w:rPr>
                <w:rFonts w:ascii="Garamond" w:hAnsi="Garamond"/>
                <w:color w:val="4F81BD" w:themeColor="accent1"/>
                <w:sz w:val="20"/>
                <w:szCs w:val="20"/>
              </w:rPr>
            </w:pPr>
            <w:hyperlink r:id="rId166"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http://www.iucn.org/about/work/programmes/gpap_home/gpap_capacity2/gpap_bpg/?2166/Indigenous-and-Local-Communites-and-Protected-Areas-Towards-Equity-and-Enhanced-Conservation</w:t>
              </w:r>
            </w:hyperlink>
          </w:p>
        </w:tc>
      </w:tr>
      <w:tr w:rsidR="007250DC" w:rsidRPr="007250DC" w14:paraId="1296735B" w14:textId="77777777" w:rsidTr="00F47607">
        <w:tc>
          <w:tcPr>
            <w:tcW w:w="4928" w:type="dxa"/>
          </w:tcPr>
          <w:p w14:paraId="3F9A683C"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Participation Works! 21 Techniques of Community Participation for the 21st Century</w:t>
            </w:r>
          </w:p>
        </w:tc>
        <w:tc>
          <w:tcPr>
            <w:tcW w:w="4394" w:type="dxa"/>
          </w:tcPr>
          <w:p w14:paraId="219D8AE2"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www.neweconomics.org</w:t>
            </w:r>
          </w:p>
          <w:p w14:paraId="33E5D12D" w14:textId="77777777" w:rsidR="007250DC" w:rsidRPr="007250DC" w:rsidRDefault="007250DC" w:rsidP="007250DC">
            <w:pPr>
              <w:spacing w:before="0" w:after="0" w:line="240" w:lineRule="auto"/>
              <w:rPr>
                <w:rFonts w:ascii="Garamond" w:hAnsi="Garamond"/>
                <w:sz w:val="20"/>
                <w:szCs w:val="20"/>
              </w:rPr>
            </w:pPr>
          </w:p>
        </w:tc>
      </w:tr>
      <w:tr w:rsidR="007250DC" w:rsidRPr="007250DC" w14:paraId="71452110" w14:textId="77777777" w:rsidTr="00F47607">
        <w:tc>
          <w:tcPr>
            <w:tcW w:w="4928" w:type="dxa"/>
          </w:tcPr>
          <w:p w14:paraId="30D432E4"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Development Without Conflict: The Business Case for Community Consent</w:t>
            </w:r>
          </w:p>
        </w:tc>
        <w:tc>
          <w:tcPr>
            <w:tcW w:w="4394" w:type="dxa"/>
          </w:tcPr>
          <w:p w14:paraId="57B11D95"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www.wri.org</w:t>
            </w:r>
          </w:p>
          <w:p w14:paraId="40C8C548" w14:textId="77777777" w:rsidR="007250DC" w:rsidRPr="007250DC" w:rsidRDefault="007250DC" w:rsidP="007250DC">
            <w:pPr>
              <w:spacing w:before="0" w:after="0" w:line="240" w:lineRule="auto"/>
              <w:rPr>
                <w:rFonts w:ascii="Garamond" w:hAnsi="Garamond"/>
                <w:sz w:val="20"/>
                <w:szCs w:val="20"/>
              </w:rPr>
            </w:pPr>
          </w:p>
        </w:tc>
      </w:tr>
      <w:tr w:rsidR="007250DC" w:rsidRPr="007250DC" w14:paraId="52D026A5" w14:textId="77777777" w:rsidTr="00F47607">
        <w:tc>
          <w:tcPr>
            <w:tcW w:w="4928" w:type="dxa"/>
          </w:tcPr>
          <w:p w14:paraId="04124EB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Making success work for the poor: Package tourism in Northern Tanzania</w:t>
            </w:r>
          </w:p>
        </w:tc>
        <w:tc>
          <w:tcPr>
            <w:tcW w:w="4394" w:type="dxa"/>
          </w:tcPr>
          <w:p w14:paraId="4D62652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http://www.odi.org.uk/sites/odi.org.uk/files/odi-assets/publications-opinion-files/4203.pdf</w:t>
            </w:r>
          </w:p>
        </w:tc>
      </w:tr>
      <w:tr w:rsidR="007250DC" w:rsidRPr="007250DC" w14:paraId="0C687A94" w14:textId="77777777" w:rsidTr="00F47607">
        <w:tc>
          <w:tcPr>
            <w:tcW w:w="4928" w:type="dxa"/>
          </w:tcPr>
          <w:p w14:paraId="166763B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Practical strategies for pro-poor tourism, Wilderness Safaris South Africa: Rocktail Bay and Ndumu Lodge</w:t>
            </w:r>
          </w:p>
          <w:p w14:paraId="1769C3F8" w14:textId="77777777" w:rsidR="007250DC" w:rsidRPr="007250DC" w:rsidRDefault="007250DC" w:rsidP="007250DC">
            <w:pPr>
              <w:spacing w:before="0" w:after="0" w:line="240" w:lineRule="auto"/>
              <w:rPr>
                <w:rFonts w:ascii="Garamond" w:hAnsi="Garamond"/>
                <w:sz w:val="20"/>
                <w:szCs w:val="20"/>
              </w:rPr>
            </w:pPr>
          </w:p>
          <w:p w14:paraId="4F8FBC1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Practical examples of the involvement of the communities in a public-private-partnership tourism concession</w:t>
            </w:r>
          </w:p>
        </w:tc>
        <w:tc>
          <w:tcPr>
            <w:tcW w:w="4394" w:type="dxa"/>
          </w:tcPr>
          <w:p w14:paraId="582E89C7" w14:textId="77777777" w:rsidR="007250DC" w:rsidRPr="007250DC" w:rsidRDefault="00500A2A" w:rsidP="007250DC">
            <w:pPr>
              <w:spacing w:before="0" w:after="0" w:line="240" w:lineRule="auto"/>
              <w:rPr>
                <w:rFonts w:ascii="Garamond" w:hAnsi="Garamond"/>
                <w:sz w:val="20"/>
                <w:szCs w:val="20"/>
              </w:rPr>
            </w:pPr>
            <w:hyperlink r:id="rId167" w:history="1">
              <w:r w:rsidR="007250DC" w:rsidRPr="007250DC">
                <w:rPr>
                  <w:rStyle w:val="Hyperlink"/>
                  <w:rFonts w:ascii="Garamond" w:hAnsi="Garamond"/>
                  <w:sz w:val="20"/>
                  <w:szCs w:val="20"/>
                </w:rPr>
                <w:t>http://www.anna.spenceley.co.uk/files/WSReport.pdf</w:t>
              </w:r>
            </w:hyperlink>
            <w:r w:rsidR="007250DC" w:rsidRPr="007250DC">
              <w:rPr>
                <w:rFonts w:ascii="Garamond" w:hAnsi="Garamond"/>
                <w:sz w:val="20"/>
                <w:szCs w:val="20"/>
              </w:rPr>
              <w:t xml:space="preserve"> </w:t>
            </w:r>
            <w:r w:rsidR="007250DC" w:rsidRPr="007250DC">
              <w:rPr>
                <w:rFonts w:ascii="Garamond" w:hAnsi="Garamond"/>
                <w:color w:val="4F81BD" w:themeColor="accent1"/>
                <w:sz w:val="20"/>
                <w:szCs w:val="20"/>
              </w:rPr>
              <w:t>Hyperlink address for manual</w:t>
            </w:r>
          </w:p>
        </w:tc>
      </w:tr>
      <w:tr w:rsidR="007250DC" w:rsidRPr="007250DC" w14:paraId="232F7AD1" w14:textId="77777777" w:rsidTr="00F47607">
        <w:tc>
          <w:tcPr>
            <w:tcW w:w="4928" w:type="dxa"/>
          </w:tcPr>
          <w:p w14:paraId="1F3326B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Pro-Poor Tourism Strategies: Making Tourism Work For The Poor: A review of experience.</w:t>
            </w:r>
          </w:p>
        </w:tc>
        <w:tc>
          <w:tcPr>
            <w:tcW w:w="4394" w:type="dxa"/>
          </w:tcPr>
          <w:p w14:paraId="086198CC" w14:textId="77777777" w:rsidR="007250DC" w:rsidRPr="007250DC" w:rsidRDefault="00500A2A" w:rsidP="007250DC">
            <w:pPr>
              <w:spacing w:before="0" w:after="0" w:line="240" w:lineRule="auto"/>
              <w:rPr>
                <w:rFonts w:ascii="Garamond" w:hAnsi="Garamond"/>
                <w:sz w:val="20"/>
                <w:szCs w:val="20"/>
              </w:rPr>
            </w:pPr>
            <w:hyperlink r:id="rId168" w:history="1">
              <w:r w:rsidR="007250DC" w:rsidRPr="007250DC">
                <w:rPr>
                  <w:rStyle w:val="Hyperlink"/>
                  <w:rFonts w:ascii="Garamond" w:hAnsi="Garamond"/>
                  <w:sz w:val="20"/>
                  <w:szCs w:val="20"/>
                </w:rPr>
                <w:t>http://www.odi.org.uk/sites/odi.org.uk/files/odi-assets/publications-opinion-files/3246.pdf</w:t>
              </w:r>
            </w:hyperlink>
            <w:r w:rsidR="007250DC" w:rsidRPr="007250DC">
              <w:rPr>
                <w:rFonts w:ascii="Garamond" w:hAnsi="Garamond"/>
                <w:sz w:val="20"/>
                <w:szCs w:val="20"/>
              </w:rPr>
              <w:t xml:space="preserve"> </w:t>
            </w:r>
            <w:r w:rsidR="007250DC" w:rsidRPr="007250DC">
              <w:rPr>
                <w:rFonts w:ascii="Garamond" w:hAnsi="Garamond"/>
                <w:color w:val="4F81BD" w:themeColor="accent1"/>
                <w:sz w:val="20"/>
                <w:szCs w:val="20"/>
              </w:rPr>
              <w:t>Hyperlink address for manual</w:t>
            </w:r>
          </w:p>
        </w:tc>
      </w:tr>
      <w:tr w:rsidR="007250DC" w:rsidRPr="007250DC" w14:paraId="30D24807" w14:textId="77777777" w:rsidTr="00F47607">
        <w:tc>
          <w:tcPr>
            <w:tcW w:w="4928" w:type="dxa"/>
          </w:tcPr>
          <w:p w14:paraId="6F8759F2" w14:textId="2A1C0A66" w:rsidR="007250DC" w:rsidRPr="007250DC" w:rsidRDefault="007250DC" w:rsidP="00FC1EDE">
            <w:pPr>
              <w:spacing w:before="0" w:after="0" w:line="240" w:lineRule="auto"/>
              <w:rPr>
                <w:rFonts w:ascii="Garamond" w:hAnsi="Garamond"/>
                <w:sz w:val="20"/>
                <w:szCs w:val="20"/>
              </w:rPr>
            </w:pPr>
            <w:r w:rsidRPr="007250DC">
              <w:rPr>
                <w:rFonts w:ascii="Garamond" w:hAnsi="Garamond"/>
                <w:sz w:val="20"/>
                <w:szCs w:val="20"/>
              </w:rPr>
              <w:t xml:space="preserve">Doing the right thing approximately not the wrong thing precisely: Challenges of monitoring impacts of pro-poor tourism interventions in tourism value chains </w:t>
            </w:r>
          </w:p>
        </w:tc>
        <w:tc>
          <w:tcPr>
            <w:tcW w:w="4394" w:type="dxa"/>
          </w:tcPr>
          <w:p w14:paraId="369297B2" w14:textId="77777777" w:rsidR="007250DC" w:rsidRPr="007250DC" w:rsidRDefault="00500A2A" w:rsidP="007250DC">
            <w:pPr>
              <w:spacing w:before="0" w:after="0" w:line="240" w:lineRule="auto"/>
              <w:rPr>
                <w:rFonts w:ascii="Garamond" w:hAnsi="Garamond"/>
                <w:sz w:val="20"/>
                <w:szCs w:val="20"/>
              </w:rPr>
            </w:pPr>
            <w:hyperlink r:id="rId169" w:history="1">
              <w:r w:rsidR="007250DC" w:rsidRPr="007250DC">
                <w:rPr>
                  <w:rStyle w:val="Hyperlink"/>
                  <w:rFonts w:ascii="Garamond" w:hAnsi="Garamond"/>
                  <w:sz w:val="20"/>
                  <w:szCs w:val="20"/>
                </w:rPr>
                <w:t>http://www.odi.org.uk/sites/odi.org.uk/files/odi-assets/publications-opinion-files/2348.pdf</w:t>
              </w:r>
            </w:hyperlink>
          </w:p>
        </w:tc>
      </w:tr>
      <w:tr w:rsidR="007250DC" w:rsidRPr="007250DC" w14:paraId="5C52C68E" w14:textId="77777777" w:rsidTr="00F47607">
        <w:tc>
          <w:tcPr>
            <w:tcW w:w="4928" w:type="dxa"/>
          </w:tcPr>
          <w:p w14:paraId="0E220F8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4BB9B555" w14:textId="77777777" w:rsidR="007250DC" w:rsidRPr="007250DC" w:rsidRDefault="007250DC" w:rsidP="007250DC">
            <w:pPr>
              <w:spacing w:before="0" w:after="0" w:line="240" w:lineRule="auto"/>
              <w:rPr>
                <w:rFonts w:ascii="Garamond" w:hAnsi="Garamond"/>
                <w:sz w:val="20"/>
                <w:szCs w:val="20"/>
              </w:rPr>
            </w:pPr>
          </w:p>
        </w:tc>
        <w:tc>
          <w:tcPr>
            <w:tcW w:w="4394" w:type="dxa"/>
          </w:tcPr>
          <w:p w14:paraId="2E6E662E" w14:textId="77777777" w:rsidR="007250DC" w:rsidRPr="007250DC" w:rsidRDefault="00500A2A" w:rsidP="007250DC">
            <w:pPr>
              <w:spacing w:before="0" w:after="0" w:line="240" w:lineRule="auto"/>
              <w:rPr>
                <w:rFonts w:ascii="Garamond" w:hAnsi="Garamond"/>
                <w:sz w:val="20"/>
                <w:szCs w:val="20"/>
              </w:rPr>
            </w:pPr>
            <w:hyperlink r:id="rId170"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http://www.iucn.org/about/work/programmes/gpap_home/gpap_capacity2/gpap_bpg/?2166/Indigenous-and-Local-Communites-and-Protected-Areas-Towards-Equity-and-Enhanced-Conservation</w:t>
              </w:r>
            </w:hyperlink>
          </w:p>
        </w:tc>
      </w:tr>
      <w:tr w:rsidR="007250DC" w:rsidRPr="007250DC" w14:paraId="6715457E" w14:textId="77777777" w:rsidTr="00F47607">
        <w:tc>
          <w:tcPr>
            <w:tcW w:w="4928" w:type="dxa"/>
          </w:tcPr>
          <w:p w14:paraId="6E98193D"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 xml:space="preserve">Series of “How to  . . . ?” </w:t>
            </w:r>
          </w:p>
          <w:p w14:paraId="5C0D2954"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1: Boosting procurement from local businesses</w:t>
            </w:r>
          </w:p>
          <w:p w14:paraId="7FF75234"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2: Stimulating local cultural and heritage products</w:t>
            </w:r>
          </w:p>
          <w:p w14:paraId="4E199B29"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3: Building local partnerships</w:t>
            </w:r>
          </w:p>
          <w:p w14:paraId="476260E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Brief 4: Setting corporate priorities and managing internal change</w:t>
            </w:r>
          </w:p>
        </w:tc>
        <w:tc>
          <w:tcPr>
            <w:tcW w:w="4394" w:type="dxa"/>
          </w:tcPr>
          <w:p w14:paraId="242CD5D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www.odi.org.uk</w:t>
            </w:r>
          </w:p>
        </w:tc>
      </w:tr>
      <w:tr w:rsidR="007250DC" w:rsidRPr="007250DC" w14:paraId="1C7EE41A" w14:textId="77777777" w:rsidTr="00F47607">
        <w:tc>
          <w:tcPr>
            <w:tcW w:w="4928" w:type="dxa"/>
          </w:tcPr>
          <w:p w14:paraId="3617D42E"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 xml:space="preserve">Indigenous Ecotourism: sustainable development and management </w:t>
            </w:r>
          </w:p>
        </w:tc>
        <w:tc>
          <w:tcPr>
            <w:tcW w:w="4394" w:type="dxa"/>
          </w:tcPr>
          <w:p w14:paraId="4B33C7A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books.google.co.za/books?id=noFNSuofi6IC&amp;pg=PA278&amp;lpg=PA278&amp;dq=Indigenous+Ecotourism:+sustainable+development+and+management,&amp;source=bl&amp;ots=kht6fJfpKt&amp;sig=xMr25lSiZb5pu-1wObQDHTWMkmA&amp;hl=en&amp;sa=X&amp;ei=IT1GU-GQBMTRhAfFsYHoAQ&amp;redir_esc=y#v=onepage&amp;q=Indigenous%20Ecotourism%3A%20sustainable%20development%20and%20management%2C&amp;f=false</w:t>
            </w:r>
          </w:p>
        </w:tc>
      </w:tr>
      <w:tr w:rsidR="007250DC" w:rsidRPr="007250DC" w14:paraId="4326632E" w14:textId="77777777" w:rsidTr="00F47607">
        <w:tc>
          <w:tcPr>
            <w:tcW w:w="4928" w:type="dxa"/>
          </w:tcPr>
          <w:p w14:paraId="4B018725"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Linking communities, tourism and conservation : A Tourism assessment process,</w:t>
            </w:r>
          </w:p>
        </w:tc>
        <w:tc>
          <w:tcPr>
            <w:tcW w:w="4394" w:type="dxa"/>
          </w:tcPr>
          <w:p w14:paraId="14AA7E25" w14:textId="77777777" w:rsidR="007250DC" w:rsidRPr="007250DC" w:rsidRDefault="007250DC" w:rsidP="007250DC">
            <w:pPr>
              <w:spacing w:before="0" w:after="0" w:line="240" w:lineRule="auto"/>
              <w:rPr>
                <w:rStyle w:val="a1"/>
                <w:rFonts w:ascii="Garamond" w:hAnsi="Garamond"/>
                <w:sz w:val="20"/>
                <w:szCs w:val="20"/>
              </w:rPr>
            </w:pPr>
            <w:r w:rsidRPr="007250DC">
              <w:rPr>
                <w:rStyle w:val="a1"/>
                <w:rFonts w:ascii="Garamond" w:hAnsi="Garamond"/>
                <w:sz w:val="20"/>
                <w:szCs w:val="20"/>
              </w:rPr>
              <w:t>web.</w:t>
            </w:r>
            <w:r w:rsidRPr="007250DC">
              <w:rPr>
                <w:rStyle w:val="a1"/>
                <w:rFonts w:ascii="Garamond" w:hAnsi="Garamond"/>
                <w:bCs/>
                <w:sz w:val="20"/>
                <w:szCs w:val="20"/>
              </w:rPr>
              <w:t>conservation</w:t>
            </w:r>
            <w:r w:rsidRPr="007250DC">
              <w:rPr>
                <w:rStyle w:val="a1"/>
                <w:rFonts w:ascii="Garamond" w:hAnsi="Garamond"/>
                <w:sz w:val="20"/>
                <w:szCs w:val="20"/>
              </w:rPr>
              <w:t>.org/xp/CIWEB/downloads/TAPManual.pdf</w:t>
            </w:r>
          </w:p>
          <w:p w14:paraId="6BB613E7" w14:textId="77777777" w:rsidR="007250DC" w:rsidRPr="007250DC" w:rsidRDefault="007250DC" w:rsidP="007250DC">
            <w:pPr>
              <w:spacing w:before="0" w:after="0" w:line="240" w:lineRule="auto"/>
              <w:rPr>
                <w:rFonts w:ascii="Garamond" w:hAnsi="Garamond"/>
                <w:sz w:val="20"/>
                <w:szCs w:val="20"/>
              </w:rPr>
            </w:pPr>
          </w:p>
        </w:tc>
      </w:tr>
      <w:tr w:rsidR="007250DC" w:rsidRPr="007250DC" w14:paraId="70FDF522" w14:textId="77777777" w:rsidTr="00F47607">
        <w:tc>
          <w:tcPr>
            <w:tcW w:w="4928" w:type="dxa"/>
          </w:tcPr>
          <w:p w14:paraId="32B7A2AB"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Tips for joint venture partnerships in tourism: A handbook for building local partnerships between private operators and conservancies in Namibia</w:t>
            </w:r>
          </w:p>
        </w:tc>
        <w:tc>
          <w:tcPr>
            <w:tcW w:w="4394" w:type="dxa"/>
          </w:tcPr>
          <w:p w14:paraId="49E8547C" w14:textId="2B2FFF85" w:rsidR="007250DC" w:rsidRPr="007250DC" w:rsidRDefault="00500A2A" w:rsidP="007250DC">
            <w:pPr>
              <w:spacing w:before="0" w:after="0" w:line="240" w:lineRule="auto"/>
              <w:rPr>
                <w:rStyle w:val="a1"/>
                <w:rFonts w:ascii="Garamond" w:hAnsi="Garamond"/>
                <w:sz w:val="20"/>
                <w:szCs w:val="20"/>
              </w:rPr>
            </w:pPr>
            <w:hyperlink r:id="rId171" w:history="1">
              <w:r w:rsidR="00482CB5" w:rsidRPr="00A26A4B">
                <w:rPr>
                  <w:rStyle w:val="Hyperlink"/>
                  <w:rFonts w:ascii="Garamond" w:hAnsi="Garamond"/>
                  <w:sz w:val="20"/>
                  <w:szCs w:val="20"/>
                </w:rPr>
                <w:t>http://www.nacso.org.na/dwnlds/refs/WWF-MET%</w:t>
              </w:r>
            </w:hyperlink>
            <w:r w:rsidR="007250DC" w:rsidRPr="007250DC">
              <w:rPr>
                <w:rStyle w:val="a1"/>
                <w:rFonts w:ascii="Garamond" w:hAnsi="Garamond"/>
                <w:sz w:val="20"/>
                <w:szCs w:val="20"/>
              </w:rPr>
              <w:t>20JV%20Booklet%20low%20res%202011.pdf</w:t>
            </w:r>
          </w:p>
        </w:tc>
      </w:tr>
      <w:tr w:rsidR="00482CB5" w:rsidRPr="007250DC" w14:paraId="1B54B1CE" w14:textId="77777777" w:rsidTr="00F47607">
        <w:tc>
          <w:tcPr>
            <w:tcW w:w="4928" w:type="dxa"/>
          </w:tcPr>
          <w:p w14:paraId="7C8256CD" w14:textId="3E87A4A0" w:rsidR="00482CB5" w:rsidRPr="007250DC" w:rsidRDefault="00482CB5" w:rsidP="007250DC">
            <w:pPr>
              <w:autoSpaceDE w:val="0"/>
              <w:autoSpaceDN w:val="0"/>
              <w:adjustRightInd w:val="0"/>
              <w:spacing w:before="0" w:after="0" w:line="240" w:lineRule="auto"/>
              <w:rPr>
                <w:rFonts w:ascii="Garamond" w:hAnsi="Garamond"/>
                <w:sz w:val="20"/>
                <w:szCs w:val="20"/>
              </w:rPr>
            </w:pPr>
            <w:r>
              <w:rPr>
                <w:rFonts w:ascii="Garamond" w:hAnsi="Garamond"/>
                <w:sz w:val="20"/>
                <w:szCs w:val="20"/>
              </w:rPr>
              <w:t>Guidelines for the management of conservancies and standard operating procedures, Namibia</w:t>
            </w:r>
          </w:p>
        </w:tc>
        <w:tc>
          <w:tcPr>
            <w:tcW w:w="4394" w:type="dxa"/>
          </w:tcPr>
          <w:p w14:paraId="2F48EA63" w14:textId="055BE42F" w:rsidR="00482CB5" w:rsidRDefault="00482CB5" w:rsidP="007250DC">
            <w:pPr>
              <w:spacing w:before="0" w:after="0" w:line="240" w:lineRule="auto"/>
              <w:rPr>
                <w:rStyle w:val="a1"/>
                <w:rFonts w:ascii="Garamond" w:hAnsi="Garamond"/>
                <w:sz w:val="20"/>
                <w:szCs w:val="20"/>
              </w:rPr>
            </w:pPr>
            <w:r>
              <w:rPr>
                <w:rStyle w:val="a1"/>
                <w:rFonts w:ascii="Garamond" w:hAnsi="Garamond"/>
                <w:sz w:val="20"/>
                <w:szCs w:val="20"/>
              </w:rPr>
              <w:t>Doc 202</w:t>
            </w:r>
          </w:p>
        </w:tc>
      </w:tr>
    </w:tbl>
    <w:p w14:paraId="59B1FC41" w14:textId="77777777" w:rsidR="007250DC" w:rsidRPr="007250DC" w:rsidRDefault="007250DC" w:rsidP="007250DC">
      <w:pPr>
        <w:spacing w:before="0" w:after="0" w:line="240" w:lineRule="auto"/>
        <w:rPr>
          <w:rFonts w:ascii="Garamond" w:hAnsi="Garamond"/>
          <w:sz w:val="20"/>
          <w:szCs w:val="20"/>
        </w:rPr>
      </w:pPr>
    </w:p>
    <w:p w14:paraId="1C2740D4" w14:textId="77777777" w:rsidR="007250DC" w:rsidRPr="007250DC" w:rsidRDefault="007250DC" w:rsidP="007250DC">
      <w:pPr>
        <w:spacing w:before="0" w:after="0" w:line="240" w:lineRule="auto"/>
        <w:rPr>
          <w:rFonts w:ascii="Garamond" w:hAnsi="Garamond"/>
          <w:sz w:val="20"/>
          <w:szCs w:val="20"/>
        </w:rPr>
      </w:pPr>
    </w:p>
    <w:p w14:paraId="28EEB81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Risk</w:t>
      </w:r>
    </w:p>
    <w:p w14:paraId="691A2C17"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150F6AB9" w14:textId="77777777" w:rsidTr="008325D8">
        <w:tc>
          <w:tcPr>
            <w:tcW w:w="4928" w:type="dxa"/>
          </w:tcPr>
          <w:p w14:paraId="2C1A5C5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IFC Managing environmental and social risks</w:t>
            </w:r>
          </w:p>
        </w:tc>
        <w:tc>
          <w:tcPr>
            <w:tcW w:w="4394" w:type="dxa"/>
          </w:tcPr>
          <w:p w14:paraId="0A55B50D" w14:textId="77777777" w:rsidR="007250DC" w:rsidRPr="007250DC" w:rsidRDefault="007250DC" w:rsidP="007250DC">
            <w:pPr>
              <w:spacing w:before="0" w:after="0" w:line="240" w:lineRule="auto"/>
              <w:rPr>
                <w:rFonts w:ascii="Garamond" w:hAnsi="Garamond" w:cs="Times New Roman"/>
                <w:sz w:val="20"/>
                <w:szCs w:val="20"/>
              </w:rPr>
            </w:pPr>
            <w:r w:rsidRPr="007250DC">
              <w:rPr>
                <w:rFonts w:ascii="Garamond" w:hAnsi="Garamond" w:cs="Times New Roman"/>
                <w:sz w:val="20"/>
                <w:szCs w:val="20"/>
              </w:rPr>
              <w:t>http://www.ifc.org/wps/wcm/connect/Topics_Ext_Content/IFC_External_Corporate_Site/IFC+Sustainability/Risk+Management/</w:t>
            </w:r>
          </w:p>
        </w:tc>
      </w:tr>
    </w:tbl>
    <w:p w14:paraId="0B7DFB20" w14:textId="77777777" w:rsidR="007250DC" w:rsidRPr="007250DC" w:rsidRDefault="007250DC" w:rsidP="007250DC">
      <w:pPr>
        <w:spacing w:before="0" w:after="0" w:line="240" w:lineRule="auto"/>
        <w:rPr>
          <w:rFonts w:ascii="Garamond" w:hAnsi="Garamond"/>
          <w:sz w:val="20"/>
          <w:szCs w:val="20"/>
        </w:rPr>
      </w:pPr>
    </w:p>
    <w:p w14:paraId="0F88A67E" w14:textId="77777777" w:rsidR="000128F9" w:rsidRPr="00933DC3" w:rsidRDefault="000128F9" w:rsidP="000128F9">
      <w:pPr>
        <w:pStyle w:val="ListParagraph"/>
        <w:spacing w:before="0" w:after="0" w:line="240" w:lineRule="auto"/>
        <w:jc w:val="left"/>
        <w:rPr>
          <w:rFonts w:ascii="Garamond" w:hAnsi="Garamond" w:cs="Times"/>
        </w:rPr>
      </w:pPr>
    </w:p>
    <w:p w14:paraId="0867DC36" w14:textId="417938CA" w:rsidR="000128F9" w:rsidRDefault="000128F9" w:rsidP="000128F9">
      <w:pPr>
        <w:pStyle w:val="Heading3"/>
        <w:rPr>
          <w:rFonts w:ascii="Garamond" w:hAnsi="Garamond"/>
        </w:rPr>
      </w:pPr>
      <w:bookmarkStart w:id="79" w:name="_Toc269636355"/>
      <w:r>
        <w:rPr>
          <w:rFonts w:ascii="Garamond" w:hAnsi="Garamond"/>
        </w:rPr>
        <w:t>Step 3: Procurement strategy</w:t>
      </w:r>
      <w:bookmarkEnd w:id="79"/>
    </w:p>
    <w:p w14:paraId="1377AC15" w14:textId="77777777" w:rsidR="000128F9" w:rsidRPr="007250DC" w:rsidRDefault="000128F9" w:rsidP="000128F9">
      <w:pPr>
        <w:spacing w:before="0" w:after="0" w:line="240" w:lineRule="auto"/>
        <w:rPr>
          <w:rFonts w:ascii="Garamond" w:hAnsi="Garamond"/>
          <w:sz w:val="20"/>
          <w:szCs w:val="20"/>
        </w:rPr>
      </w:pPr>
    </w:p>
    <w:p w14:paraId="0EDB1BB2" w14:textId="77777777" w:rsidR="007250DC" w:rsidRPr="007250DC" w:rsidRDefault="007250DC" w:rsidP="007250DC">
      <w:pPr>
        <w:spacing w:before="0" w:after="0" w:line="240" w:lineRule="auto"/>
        <w:rPr>
          <w:rFonts w:ascii="Garamond" w:hAnsi="Garamond"/>
          <w:sz w:val="20"/>
          <w:szCs w:val="20"/>
        </w:rPr>
      </w:pPr>
    </w:p>
    <w:p w14:paraId="06C23D61"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Investment strategy</w:t>
      </w:r>
    </w:p>
    <w:p w14:paraId="64B9712D"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07B41F34" w14:textId="77777777" w:rsidTr="008325D8">
        <w:tc>
          <w:tcPr>
            <w:tcW w:w="4928" w:type="dxa"/>
          </w:tcPr>
          <w:p w14:paraId="3937BB5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Recommended data to include in investment promotion database</w:t>
            </w:r>
          </w:p>
        </w:tc>
        <w:tc>
          <w:tcPr>
            <w:tcW w:w="4394" w:type="dxa"/>
          </w:tcPr>
          <w:p w14:paraId="2A1BCDD5"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sz w:val="20"/>
                <w:szCs w:val="20"/>
              </w:rPr>
              <w:t>http://tourisminvest.org/_manual/downloads/Data-included-in-investment-promotion-database.pdf</w:t>
            </w:r>
          </w:p>
        </w:tc>
      </w:tr>
      <w:tr w:rsidR="007250DC" w:rsidRPr="007250DC" w14:paraId="600C7EBF" w14:textId="77777777" w:rsidTr="008325D8">
        <w:tc>
          <w:tcPr>
            <w:tcW w:w="4928" w:type="dxa"/>
          </w:tcPr>
          <w:p w14:paraId="241DB18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Investor outreach and communication strategy (Mozambique concessions)</w:t>
            </w:r>
          </w:p>
        </w:tc>
        <w:tc>
          <w:tcPr>
            <w:tcW w:w="4394" w:type="dxa"/>
          </w:tcPr>
          <w:p w14:paraId="2231801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http://tourisminvest.org/_manual/downloads/Investor_Outreach_and_Communications_Strategy.pdf</w:t>
            </w:r>
          </w:p>
        </w:tc>
      </w:tr>
      <w:tr w:rsidR="007250DC" w:rsidRPr="007250DC" w14:paraId="4683DBC5" w14:textId="77777777" w:rsidTr="008325D8">
        <w:tc>
          <w:tcPr>
            <w:tcW w:w="4928" w:type="dxa"/>
          </w:tcPr>
          <w:p w14:paraId="5A6757A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Maputo Special Reserve Investment procurement strategy</w:t>
            </w:r>
          </w:p>
        </w:tc>
        <w:tc>
          <w:tcPr>
            <w:tcW w:w="4394" w:type="dxa"/>
          </w:tcPr>
          <w:p w14:paraId="499A7B95" w14:textId="77777777" w:rsidR="007250DC" w:rsidRPr="007250DC" w:rsidRDefault="00500A2A" w:rsidP="007250DC">
            <w:pPr>
              <w:spacing w:before="0" w:after="0" w:line="240" w:lineRule="auto"/>
              <w:rPr>
                <w:rFonts w:ascii="Garamond" w:hAnsi="Garamond"/>
                <w:sz w:val="20"/>
                <w:szCs w:val="20"/>
              </w:rPr>
            </w:pPr>
            <w:hyperlink r:id="rId172" w:history="1">
              <w:r w:rsidR="007250DC" w:rsidRPr="007250DC">
                <w:rPr>
                  <w:rStyle w:val="Hyperlink"/>
                  <w:rFonts w:ascii="Garamond" w:hAnsi="Garamond"/>
                  <w:sz w:val="20"/>
                  <w:szCs w:val="20"/>
                </w:rPr>
                <w:t>http://tourisminvest.org/_manual/downloads/MER-Investment-Strategy.pdf</w:t>
              </w:r>
            </w:hyperlink>
          </w:p>
        </w:tc>
      </w:tr>
      <w:tr w:rsidR="007250DC" w:rsidRPr="007250DC" w14:paraId="47054933" w14:textId="77777777" w:rsidTr="008325D8">
        <w:tc>
          <w:tcPr>
            <w:tcW w:w="4928" w:type="dxa"/>
          </w:tcPr>
          <w:p w14:paraId="4B92E9D6"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Tanzania’s investment outreach program – case study</w:t>
            </w:r>
          </w:p>
        </w:tc>
        <w:tc>
          <w:tcPr>
            <w:tcW w:w="4394" w:type="dxa"/>
          </w:tcPr>
          <w:p w14:paraId="5E218557"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http://tourisminvest.org/_manual/downloads/Tanzania_Investor-Outreach-Program.pdf</w:t>
            </w:r>
          </w:p>
        </w:tc>
      </w:tr>
    </w:tbl>
    <w:p w14:paraId="30D60744" w14:textId="77777777" w:rsidR="007250DC" w:rsidRPr="007250DC" w:rsidRDefault="007250DC" w:rsidP="007250DC">
      <w:pPr>
        <w:spacing w:before="0" w:after="0" w:line="240" w:lineRule="auto"/>
        <w:rPr>
          <w:rFonts w:ascii="Garamond" w:hAnsi="Garamond"/>
          <w:b/>
          <w:sz w:val="20"/>
          <w:szCs w:val="20"/>
        </w:rPr>
      </w:pPr>
    </w:p>
    <w:p w14:paraId="1DE17819" w14:textId="77777777" w:rsidR="007250DC" w:rsidRPr="007250DC" w:rsidRDefault="007250DC" w:rsidP="007250DC">
      <w:pPr>
        <w:spacing w:before="0" w:after="0" w:line="240" w:lineRule="auto"/>
        <w:rPr>
          <w:rFonts w:ascii="Garamond" w:hAnsi="Garamond"/>
          <w:b/>
          <w:sz w:val="20"/>
          <w:szCs w:val="20"/>
        </w:rPr>
      </w:pPr>
    </w:p>
    <w:p w14:paraId="6DC919F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Transaction strategy</w:t>
      </w:r>
    </w:p>
    <w:p w14:paraId="56F706FB"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7B82C474" w14:textId="77777777" w:rsidTr="008325D8">
        <w:trPr>
          <w:trHeight w:val="982"/>
        </w:trPr>
        <w:tc>
          <w:tcPr>
            <w:tcW w:w="4928" w:type="dxa"/>
          </w:tcPr>
          <w:p w14:paraId="5DD39FA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How to manage unsolicited proposals - PPP in infrastructure Resource Centre, World Bank</w:t>
            </w:r>
          </w:p>
        </w:tc>
        <w:tc>
          <w:tcPr>
            <w:tcW w:w="4394" w:type="dxa"/>
          </w:tcPr>
          <w:p w14:paraId="1A9FB22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http://ppp.worldbank.org/public-private-partnership/legislation-regulation/laws/ppp-and-concession-laws#how_to_manage</w:t>
            </w:r>
          </w:p>
        </w:tc>
      </w:tr>
      <w:tr w:rsidR="007250DC" w:rsidRPr="007250DC" w14:paraId="7ACD524B" w14:textId="77777777" w:rsidTr="008325D8">
        <w:tc>
          <w:tcPr>
            <w:tcW w:w="4928" w:type="dxa"/>
          </w:tcPr>
          <w:p w14:paraId="62B7961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 xml:space="preserve">Tourism concessions in protected areas in Mozambique: Manual for operators and concessionnaires </w:t>
            </w:r>
          </w:p>
        </w:tc>
        <w:tc>
          <w:tcPr>
            <w:tcW w:w="4394" w:type="dxa"/>
          </w:tcPr>
          <w:p w14:paraId="3806E00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http://anna.spenceley.co.uk/files/Files%20Sept%202012/SPEED-Reports-2012-005ConcessionsOperatorManual.pdf</w:t>
            </w:r>
          </w:p>
        </w:tc>
      </w:tr>
    </w:tbl>
    <w:p w14:paraId="38D0EE83" w14:textId="77777777" w:rsidR="007250DC" w:rsidRPr="007250DC" w:rsidRDefault="007250DC" w:rsidP="007250DC">
      <w:pPr>
        <w:spacing w:before="0" w:after="0" w:line="240" w:lineRule="auto"/>
        <w:rPr>
          <w:rFonts w:ascii="Garamond" w:hAnsi="Garamond"/>
          <w:b/>
          <w:sz w:val="20"/>
          <w:szCs w:val="20"/>
        </w:rPr>
      </w:pPr>
    </w:p>
    <w:p w14:paraId="0C61E784" w14:textId="77777777" w:rsidR="007250DC" w:rsidRPr="007250DC" w:rsidRDefault="007250DC" w:rsidP="007250DC">
      <w:pPr>
        <w:spacing w:before="0" w:after="0" w:line="240" w:lineRule="auto"/>
        <w:rPr>
          <w:rFonts w:ascii="Garamond" w:hAnsi="Garamond"/>
          <w:b/>
          <w:sz w:val="20"/>
          <w:szCs w:val="20"/>
        </w:rPr>
      </w:pPr>
    </w:p>
    <w:p w14:paraId="22FB666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Sample promotional materials for concessions</w:t>
      </w:r>
    </w:p>
    <w:tbl>
      <w:tblPr>
        <w:tblStyle w:val="TableGrid"/>
        <w:tblW w:w="9322" w:type="dxa"/>
        <w:tblLayout w:type="fixed"/>
        <w:tblLook w:val="04A0" w:firstRow="1" w:lastRow="0" w:firstColumn="1" w:lastColumn="0" w:noHBand="0" w:noVBand="1"/>
      </w:tblPr>
      <w:tblGrid>
        <w:gridCol w:w="4928"/>
        <w:gridCol w:w="4394"/>
      </w:tblGrid>
      <w:tr w:rsidR="007250DC" w:rsidRPr="007250DC" w14:paraId="01C62BC1" w14:textId="77777777" w:rsidTr="008325D8">
        <w:tc>
          <w:tcPr>
            <w:tcW w:w="4928" w:type="dxa"/>
          </w:tcPr>
          <w:p w14:paraId="21955BA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A4 Advertisement (Mozambique)</w:t>
            </w:r>
          </w:p>
        </w:tc>
        <w:tc>
          <w:tcPr>
            <w:tcW w:w="4394" w:type="dxa"/>
          </w:tcPr>
          <w:p w14:paraId="79E92F3D" w14:textId="77777777" w:rsidR="007250DC" w:rsidRPr="007250DC" w:rsidRDefault="00500A2A" w:rsidP="007250DC">
            <w:pPr>
              <w:spacing w:before="0" w:after="0" w:line="240" w:lineRule="auto"/>
              <w:rPr>
                <w:rFonts w:ascii="Garamond" w:hAnsi="Garamond"/>
                <w:sz w:val="20"/>
                <w:szCs w:val="20"/>
              </w:rPr>
            </w:pPr>
            <w:hyperlink r:id="rId173" w:history="1">
              <w:r w:rsidR="007250DC" w:rsidRPr="007250DC">
                <w:rPr>
                  <w:rStyle w:val="Hyperlink"/>
                  <w:rFonts w:ascii="Garamond" w:hAnsi="Garamond"/>
                  <w:sz w:val="20"/>
                  <w:szCs w:val="20"/>
                </w:rPr>
                <w:t>http://tourisminvest.org/_manual/downloads/ifc-advert-final.pdf</w:t>
              </w:r>
            </w:hyperlink>
          </w:p>
        </w:tc>
      </w:tr>
      <w:tr w:rsidR="007250DC" w:rsidRPr="007250DC" w14:paraId="38BF7FFE" w14:textId="77777777" w:rsidTr="008325D8">
        <w:tc>
          <w:tcPr>
            <w:tcW w:w="4928" w:type="dxa"/>
          </w:tcPr>
          <w:p w14:paraId="2A89308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16-page marketing brochure (Mozambique)</w:t>
            </w:r>
          </w:p>
        </w:tc>
        <w:tc>
          <w:tcPr>
            <w:tcW w:w="4394" w:type="dxa"/>
          </w:tcPr>
          <w:p w14:paraId="6C1690D7" w14:textId="77777777" w:rsidR="007250DC" w:rsidRPr="007250DC" w:rsidRDefault="00500A2A" w:rsidP="007250DC">
            <w:pPr>
              <w:spacing w:before="0" w:after="0" w:line="240" w:lineRule="auto"/>
              <w:rPr>
                <w:rFonts w:ascii="Garamond" w:hAnsi="Garamond"/>
                <w:sz w:val="20"/>
                <w:szCs w:val="20"/>
              </w:rPr>
            </w:pPr>
            <w:hyperlink r:id="rId174" w:history="1">
              <w:r w:rsidR="007250DC" w:rsidRPr="007250DC">
                <w:rPr>
                  <w:rStyle w:val="Hyperlink"/>
                  <w:rFonts w:ascii="Garamond" w:hAnsi="Garamond"/>
                  <w:sz w:val="20"/>
                  <w:szCs w:val="20"/>
                </w:rPr>
                <w:t>http://tourisminvest.org/_manual/downloads/Anchor_Sites_Brochure.pdf</w:t>
              </w:r>
            </w:hyperlink>
          </w:p>
        </w:tc>
      </w:tr>
      <w:tr w:rsidR="007250DC" w:rsidRPr="007250DC" w14:paraId="336ED6A3" w14:textId="77777777" w:rsidTr="008325D8">
        <w:tc>
          <w:tcPr>
            <w:tcW w:w="4928" w:type="dxa"/>
          </w:tcPr>
          <w:p w14:paraId="259DFEB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2 x promotional posters (Mozambique)</w:t>
            </w:r>
          </w:p>
        </w:tc>
        <w:tc>
          <w:tcPr>
            <w:tcW w:w="4394" w:type="dxa"/>
          </w:tcPr>
          <w:p w14:paraId="3941FC0A" w14:textId="77777777" w:rsidR="007250DC" w:rsidRPr="007250DC" w:rsidRDefault="00500A2A" w:rsidP="007250DC">
            <w:pPr>
              <w:spacing w:before="0" w:after="0" w:line="240" w:lineRule="auto"/>
              <w:rPr>
                <w:rFonts w:ascii="Garamond" w:hAnsi="Garamond"/>
                <w:sz w:val="20"/>
                <w:szCs w:val="20"/>
              </w:rPr>
            </w:pPr>
            <w:hyperlink r:id="rId175" w:history="1">
              <w:r w:rsidR="007250DC" w:rsidRPr="007250DC">
                <w:rPr>
                  <w:rStyle w:val="Hyperlink"/>
                  <w:rFonts w:ascii="Garamond" w:hAnsi="Garamond"/>
                  <w:sz w:val="20"/>
                  <w:szCs w:val="20"/>
                </w:rPr>
                <w:t>http://tourisminvest.org/_manual/downloads/final-posters.pdf</w:t>
              </w:r>
            </w:hyperlink>
          </w:p>
        </w:tc>
      </w:tr>
      <w:tr w:rsidR="007250DC" w:rsidRPr="007250DC" w14:paraId="3C5336D1" w14:textId="77777777" w:rsidTr="008325D8">
        <w:tc>
          <w:tcPr>
            <w:tcW w:w="4928" w:type="dxa"/>
          </w:tcPr>
          <w:p w14:paraId="3E2CFE3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Press release at launch (Mozambique)</w:t>
            </w:r>
          </w:p>
        </w:tc>
        <w:tc>
          <w:tcPr>
            <w:tcW w:w="4394" w:type="dxa"/>
          </w:tcPr>
          <w:p w14:paraId="5F222786" w14:textId="77777777" w:rsidR="007250DC" w:rsidRPr="007250DC" w:rsidRDefault="00500A2A" w:rsidP="007250DC">
            <w:pPr>
              <w:spacing w:before="0" w:after="0" w:line="240" w:lineRule="auto"/>
              <w:rPr>
                <w:rFonts w:ascii="Garamond" w:hAnsi="Garamond"/>
                <w:sz w:val="20"/>
                <w:szCs w:val="20"/>
              </w:rPr>
            </w:pPr>
            <w:hyperlink r:id="rId176" w:history="1">
              <w:r w:rsidR="007250DC" w:rsidRPr="007250DC">
                <w:rPr>
                  <w:rStyle w:val="Hyperlink"/>
                  <w:rFonts w:ascii="Garamond" w:hAnsi="Garamond"/>
                  <w:sz w:val="20"/>
                  <w:szCs w:val="20"/>
                </w:rPr>
                <w:t>http://tourisminvest.org/_manual/downloads/Press_release_international-launch.pdf</w:t>
              </w:r>
            </w:hyperlink>
          </w:p>
        </w:tc>
      </w:tr>
      <w:tr w:rsidR="007250DC" w:rsidRPr="007250DC" w14:paraId="3DEA227B" w14:textId="77777777" w:rsidTr="008325D8">
        <w:tc>
          <w:tcPr>
            <w:tcW w:w="4928" w:type="dxa"/>
          </w:tcPr>
          <w:p w14:paraId="5F6AC26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Investor criteria brief (Mozambique)</w:t>
            </w:r>
          </w:p>
        </w:tc>
        <w:tc>
          <w:tcPr>
            <w:tcW w:w="4394" w:type="dxa"/>
          </w:tcPr>
          <w:p w14:paraId="1DB1828D" w14:textId="77777777" w:rsidR="007250DC" w:rsidRPr="007250DC" w:rsidRDefault="00500A2A" w:rsidP="007250DC">
            <w:pPr>
              <w:spacing w:before="0" w:after="0" w:line="240" w:lineRule="auto"/>
              <w:rPr>
                <w:rFonts w:ascii="Garamond" w:hAnsi="Garamond"/>
                <w:sz w:val="20"/>
                <w:szCs w:val="20"/>
              </w:rPr>
            </w:pPr>
            <w:hyperlink r:id="rId177" w:history="1">
              <w:r w:rsidR="007250DC" w:rsidRPr="007250DC">
                <w:rPr>
                  <w:rStyle w:val="Hyperlink"/>
                  <w:rFonts w:ascii="Garamond" w:hAnsi="Garamond"/>
                  <w:sz w:val="20"/>
                  <w:szCs w:val="20"/>
                </w:rPr>
                <w:t>http://tourisminvest.org/_manual/downloads/Investor-criteria-brief.pdf</w:t>
              </w:r>
            </w:hyperlink>
          </w:p>
        </w:tc>
      </w:tr>
    </w:tbl>
    <w:p w14:paraId="5A39988E" w14:textId="77777777" w:rsidR="007250DC" w:rsidRPr="007250DC" w:rsidRDefault="007250DC" w:rsidP="007250DC">
      <w:pPr>
        <w:spacing w:before="0" w:after="0" w:line="240" w:lineRule="auto"/>
        <w:rPr>
          <w:rFonts w:ascii="Garamond" w:hAnsi="Garamond"/>
          <w:b/>
          <w:sz w:val="20"/>
          <w:szCs w:val="20"/>
        </w:rPr>
      </w:pPr>
    </w:p>
    <w:p w14:paraId="6E9E718D" w14:textId="77777777" w:rsidR="007250DC" w:rsidRPr="007250DC" w:rsidRDefault="007250DC" w:rsidP="007250DC">
      <w:pPr>
        <w:spacing w:before="0" w:after="0" w:line="240" w:lineRule="auto"/>
        <w:rPr>
          <w:rFonts w:ascii="Garamond" w:hAnsi="Garamond"/>
          <w:b/>
          <w:sz w:val="20"/>
          <w:szCs w:val="20"/>
        </w:rPr>
      </w:pPr>
    </w:p>
    <w:p w14:paraId="4F7712A0"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 xml:space="preserve">Evaluation committee </w:t>
      </w:r>
    </w:p>
    <w:p w14:paraId="6F48EE94" w14:textId="77777777"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26126D40" w14:textId="77777777" w:rsidR="007250DC" w:rsidRDefault="007250DC" w:rsidP="007250DC">
      <w:pPr>
        <w:spacing w:before="0" w:after="0" w:line="240" w:lineRule="auto"/>
        <w:rPr>
          <w:rFonts w:ascii="Garamond" w:hAnsi="Garamond"/>
          <w:sz w:val="20"/>
          <w:szCs w:val="20"/>
        </w:rPr>
      </w:pPr>
    </w:p>
    <w:p w14:paraId="106585CB" w14:textId="77777777" w:rsidR="000128F9" w:rsidRPr="00933DC3" w:rsidRDefault="000128F9" w:rsidP="000128F9">
      <w:pPr>
        <w:pStyle w:val="ListParagraph"/>
        <w:spacing w:before="0" w:after="0" w:line="240" w:lineRule="auto"/>
        <w:jc w:val="left"/>
        <w:rPr>
          <w:rFonts w:ascii="Garamond" w:hAnsi="Garamond" w:cs="Times"/>
        </w:rPr>
      </w:pPr>
    </w:p>
    <w:p w14:paraId="21CA7EC3" w14:textId="519DBC20" w:rsidR="000128F9" w:rsidRDefault="000128F9" w:rsidP="000128F9">
      <w:pPr>
        <w:pStyle w:val="Heading3"/>
        <w:rPr>
          <w:rFonts w:ascii="Garamond" w:hAnsi="Garamond"/>
        </w:rPr>
      </w:pPr>
      <w:bookmarkStart w:id="80" w:name="_Toc269636356"/>
      <w:r>
        <w:rPr>
          <w:rFonts w:ascii="Garamond" w:hAnsi="Garamond"/>
        </w:rPr>
        <w:t>Step 4: Transaction management</w:t>
      </w:r>
      <w:bookmarkEnd w:id="80"/>
    </w:p>
    <w:p w14:paraId="706DB349" w14:textId="77777777" w:rsidR="000128F9" w:rsidRPr="007250DC" w:rsidRDefault="000128F9" w:rsidP="000128F9">
      <w:pPr>
        <w:spacing w:before="0" w:after="0" w:line="240" w:lineRule="auto"/>
        <w:rPr>
          <w:rFonts w:ascii="Garamond" w:hAnsi="Garamond"/>
          <w:sz w:val="20"/>
          <w:szCs w:val="20"/>
        </w:rPr>
      </w:pPr>
    </w:p>
    <w:p w14:paraId="18051081" w14:textId="77777777" w:rsidR="007250DC" w:rsidRPr="007250DC" w:rsidRDefault="007250DC" w:rsidP="007250DC">
      <w:pPr>
        <w:spacing w:before="0" w:after="0" w:line="240" w:lineRule="auto"/>
        <w:rPr>
          <w:rFonts w:ascii="Garamond" w:hAnsi="Garamond"/>
          <w:b/>
          <w:sz w:val="20"/>
          <w:szCs w:val="20"/>
        </w:rPr>
      </w:pPr>
    </w:p>
    <w:p w14:paraId="1556F2CB"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Procurement process</w:t>
      </w:r>
    </w:p>
    <w:p w14:paraId="0D4ABC5A" w14:textId="394CDD58"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43AD05A0" w14:textId="77777777" w:rsidR="007250DC" w:rsidRPr="007250DC" w:rsidRDefault="007250DC" w:rsidP="007250DC">
      <w:pPr>
        <w:spacing w:before="0" w:after="0" w:line="240" w:lineRule="auto"/>
        <w:rPr>
          <w:rFonts w:ascii="Garamond" w:hAnsi="Garamond"/>
          <w:b/>
          <w:sz w:val="20"/>
          <w:szCs w:val="20"/>
        </w:rPr>
      </w:pPr>
    </w:p>
    <w:p w14:paraId="5FBDA79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Engagement with investors</w:t>
      </w:r>
    </w:p>
    <w:p w14:paraId="09D304E1"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41E4CF57" w14:textId="77777777" w:rsidTr="008325D8">
        <w:tc>
          <w:tcPr>
            <w:tcW w:w="4786" w:type="dxa"/>
          </w:tcPr>
          <w:p w14:paraId="7F6EE7F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concession applicants (Namibia)</w:t>
            </w:r>
          </w:p>
        </w:tc>
        <w:tc>
          <w:tcPr>
            <w:tcW w:w="4536" w:type="dxa"/>
          </w:tcPr>
          <w:p w14:paraId="5CC66385" w14:textId="77777777" w:rsidR="007250DC" w:rsidRPr="007250DC" w:rsidRDefault="00500A2A" w:rsidP="007250DC">
            <w:pPr>
              <w:spacing w:before="0" w:after="0" w:line="240" w:lineRule="auto"/>
              <w:rPr>
                <w:rFonts w:ascii="Garamond" w:hAnsi="Garamond"/>
                <w:color w:val="4F81BD" w:themeColor="accent1"/>
                <w:sz w:val="20"/>
                <w:szCs w:val="20"/>
              </w:rPr>
            </w:pPr>
            <w:hyperlink r:id="rId178" w:history="1">
              <w:r w:rsidR="007250DC" w:rsidRPr="007250DC">
                <w:rPr>
                  <w:rStyle w:val="Hyperlink"/>
                  <w:rFonts w:ascii="Garamond" w:hAnsi="Garamond"/>
                  <w:sz w:val="20"/>
                  <w:szCs w:val="20"/>
                </w:rPr>
                <w:t>http://www.met.gov.na/Documents/Guidelines%20for%20Concession%20Applicants.pdf</w:t>
              </w:r>
            </w:hyperlink>
          </w:p>
        </w:tc>
      </w:tr>
    </w:tbl>
    <w:p w14:paraId="65D083A9" w14:textId="77777777" w:rsidR="007250DC" w:rsidRPr="007250DC" w:rsidRDefault="007250DC" w:rsidP="007250DC">
      <w:pPr>
        <w:spacing w:before="0" w:after="0" w:line="240" w:lineRule="auto"/>
        <w:rPr>
          <w:rFonts w:ascii="Garamond" w:hAnsi="Garamond"/>
          <w:b/>
          <w:sz w:val="20"/>
          <w:szCs w:val="20"/>
        </w:rPr>
      </w:pPr>
    </w:p>
    <w:p w14:paraId="0B57E32F"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Win win deals</w:t>
      </w:r>
    </w:p>
    <w:p w14:paraId="45B3450F"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1E6F4954" w14:textId="77777777" w:rsidTr="008325D8">
        <w:tc>
          <w:tcPr>
            <w:tcW w:w="4786" w:type="dxa"/>
          </w:tcPr>
          <w:p w14:paraId="096D392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Negotiating a public private partnership: institutional arrangements to restore the Gorongoza National Park </w:t>
            </w:r>
            <w:r w:rsidRPr="007250DC">
              <w:rPr>
                <w:rFonts w:ascii="Garamond" w:hAnsi="Garamond"/>
                <w:sz w:val="20"/>
                <w:szCs w:val="20"/>
              </w:rPr>
              <w:lastRenderedPageBreak/>
              <w:t>(presentation)</w:t>
            </w:r>
          </w:p>
        </w:tc>
        <w:tc>
          <w:tcPr>
            <w:tcW w:w="4536" w:type="dxa"/>
          </w:tcPr>
          <w:p w14:paraId="3E3550F3" w14:textId="77777777" w:rsidR="007250DC" w:rsidRPr="007250DC" w:rsidRDefault="00500A2A" w:rsidP="007250DC">
            <w:pPr>
              <w:spacing w:before="0" w:after="0" w:line="240" w:lineRule="auto"/>
              <w:rPr>
                <w:rFonts w:ascii="Garamond" w:hAnsi="Garamond"/>
                <w:color w:val="4F81BD" w:themeColor="accent1"/>
                <w:sz w:val="20"/>
                <w:szCs w:val="20"/>
              </w:rPr>
            </w:pPr>
            <w:hyperlink r:id="rId179" w:history="1">
              <w:r w:rsidR="007250DC" w:rsidRPr="007250DC">
                <w:rPr>
                  <w:rStyle w:val="Hyperlink"/>
                  <w:rFonts w:ascii="Garamond" w:hAnsi="Garamond"/>
                  <w:sz w:val="20"/>
                  <w:szCs w:val="20"/>
                </w:rPr>
                <w:t>http://www.slideshare.net/AnnaSpenceley/gorongosa-concession-bartolomeu-soto</w:t>
              </w:r>
            </w:hyperlink>
          </w:p>
        </w:tc>
      </w:tr>
      <w:tr w:rsidR="007250DC" w:rsidRPr="007250DC" w14:paraId="49DE32FD" w14:textId="77777777" w:rsidTr="008325D8">
        <w:tc>
          <w:tcPr>
            <w:tcW w:w="4786" w:type="dxa"/>
            <w:vAlign w:val="bottom"/>
          </w:tcPr>
          <w:p w14:paraId="2E5CE73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lastRenderedPageBreak/>
              <w:t>How to engage with the private sector in PPPs in emerging markets</w:t>
            </w:r>
          </w:p>
        </w:tc>
        <w:tc>
          <w:tcPr>
            <w:tcW w:w="4536" w:type="dxa"/>
            <w:vAlign w:val="bottom"/>
          </w:tcPr>
          <w:p w14:paraId="3D1E2E2C"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s="Times New Roman"/>
                <w:color w:val="000000"/>
                <w:sz w:val="20"/>
                <w:szCs w:val="20"/>
              </w:rPr>
              <w:t>Doc 99</w:t>
            </w:r>
          </w:p>
        </w:tc>
      </w:tr>
    </w:tbl>
    <w:p w14:paraId="6C56E80D" w14:textId="77777777" w:rsidR="007250DC" w:rsidRPr="007250DC" w:rsidRDefault="007250DC" w:rsidP="007250DC">
      <w:pPr>
        <w:spacing w:before="0" w:after="0" w:line="240" w:lineRule="auto"/>
        <w:rPr>
          <w:rFonts w:ascii="Garamond" w:hAnsi="Garamond"/>
          <w:b/>
          <w:sz w:val="20"/>
          <w:szCs w:val="20"/>
        </w:rPr>
      </w:pPr>
    </w:p>
    <w:p w14:paraId="5D113A40" w14:textId="77777777" w:rsidR="007250DC" w:rsidRPr="007250DC" w:rsidRDefault="007250DC" w:rsidP="007250DC">
      <w:pPr>
        <w:spacing w:before="0" w:after="0" w:line="240" w:lineRule="auto"/>
        <w:rPr>
          <w:rFonts w:ascii="Garamond" w:hAnsi="Garamond"/>
          <w:b/>
          <w:sz w:val="20"/>
          <w:szCs w:val="20"/>
        </w:rPr>
      </w:pPr>
    </w:p>
    <w:p w14:paraId="78F48915"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Contract content</w:t>
      </w:r>
    </w:p>
    <w:p w14:paraId="583BD0AE"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7AA59706" w14:textId="77777777" w:rsidTr="008325D8">
        <w:tc>
          <w:tcPr>
            <w:tcW w:w="4786" w:type="dxa"/>
          </w:tcPr>
          <w:p w14:paraId="09C18C5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Lesotho Tourism Public Private Partnership Contract Management Consulting </w:t>
            </w:r>
          </w:p>
          <w:p w14:paraId="61319303" w14:textId="77777777" w:rsidR="007250DC" w:rsidRPr="007250DC" w:rsidRDefault="007250DC" w:rsidP="007250DC">
            <w:pPr>
              <w:spacing w:before="0" w:after="0" w:line="240" w:lineRule="auto"/>
              <w:rPr>
                <w:rFonts w:ascii="Garamond" w:hAnsi="Garamond"/>
                <w:sz w:val="20"/>
                <w:szCs w:val="20"/>
              </w:rPr>
            </w:pPr>
          </w:p>
          <w:p w14:paraId="45E1B6C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Contract management Manual and resources:</w:t>
            </w:r>
          </w:p>
          <w:p w14:paraId="7F2DBE3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Volume I and II – Contract management training manual </w:t>
            </w:r>
          </w:p>
        </w:tc>
        <w:tc>
          <w:tcPr>
            <w:tcW w:w="4536" w:type="dxa"/>
          </w:tcPr>
          <w:p w14:paraId="18E74097" w14:textId="10C7AB92" w:rsidR="007250DC" w:rsidRPr="007250DC" w:rsidRDefault="007250DC" w:rsidP="007250DC">
            <w:pPr>
              <w:spacing w:before="0" w:after="0" w:line="240" w:lineRule="auto"/>
              <w:rPr>
                <w:rFonts w:ascii="Garamond" w:hAnsi="Garamond"/>
                <w:sz w:val="20"/>
                <w:szCs w:val="20"/>
              </w:rPr>
            </w:pPr>
            <w:r w:rsidRPr="007250DC">
              <w:rPr>
                <w:rFonts w:ascii="Garamond" w:hAnsi="Garamond"/>
                <w:color w:val="4F81BD" w:themeColor="accent1"/>
                <w:sz w:val="20"/>
                <w:szCs w:val="20"/>
              </w:rPr>
              <w:t>Doc 35 and 36</w:t>
            </w:r>
          </w:p>
        </w:tc>
      </w:tr>
    </w:tbl>
    <w:p w14:paraId="3D9FCDE5" w14:textId="77777777" w:rsidR="007250DC" w:rsidRPr="007250DC" w:rsidRDefault="007250DC" w:rsidP="007250DC">
      <w:pPr>
        <w:spacing w:before="0" w:after="0" w:line="240" w:lineRule="auto"/>
        <w:rPr>
          <w:rFonts w:ascii="Garamond" w:hAnsi="Garamond"/>
          <w:sz w:val="20"/>
          <w:szCs w:val="20"/>
        </w:rPr>
      </w:pPr>
    </w:p>
    <w:p w14:paraId="2B46F1B1" w14:textId="77777777" w:rsidR="000128F9" w:rsidRPr="00933DC3" w:rsidRDefault="000128F9" w:rsidP="000128F9">
      <w:pPr>
        <w:pStyle w:val="ListParagraph"/>
        <w:spacing w:before="0" w:after="0" w:line="240" w:lineRule="auto"/>
        <w:jc w:val="left"/>
        <w:rPr>
          <w:rFonts w:ascii="Garamond" w:hAnsi="Garamond" w:cs="Times"/>
        </w:rPr>
      </w:pPr>
    </w:p>
    <w:p w14:paraId="5BB2D383" w14:textId="26A8D809" w:rsidR="000128F9" w:rsidRDefault="000128F9" w:rsidP="000128F9">
      <w:pPr>
        <w:pStyle w:val="Heading3"/>
        <w:rPr>
          <w:rFonts w:ascii="Garamond" w:hAnsi="Garamond"/>
        </w:rPr>
      </w:pPr>
      <w:bookmarkStart w:id="81" w:name="_Toc269636357"/>
      <w:r>
        <w:rPr>
          <w:rFonts w:ascii="Garamond" w:hAnsi="Garamond"/>
        </w:rPr>
        <w:t>Step 5: Contract management</w:t>
      </w:r>
      <w:bookmarkEnd w:id="81"/>
    </w:p>
    <w:p w14:paraId="76693BFA" w14:textId="77777777" w:rsidR="000128F9" w:rsidRPr="007250DC" w:rsidRDefault="000128F9" w:rsidP="000128F9">
      <w:pPr>
        <w:spacing w:before="0" w:after="0" w:line="240" w:lineRule="auto"/>
        <w:rPr>
          <w:rFonts w:ascii="Garamond" w:hAnsi="Garamond"/>
          <w:sz w:val="20"/>
          <w:szCs w:val="20"/>
        </w:rPr>
      </w:pPr>
    </w:p>
    <w:p w14:paraId="587BB828" w14:textId="77777777" w:rsidR="007250DC" w:rsidRPr="007250DC" w:rsidRDefault="007250DC" w:rsidP="007250DC">
      <w:pPr>
        <w:spacing w:before="0" w:after="0" w:line="240" w:lineRule="auto"/>
        <w:rPr>
          <w:rFonts w:ascii="Garamond" w:hAnsi="Garamond"/>
          <w:b/>
          <w:sz w:val="20"/>
          <w:szCs w:val="20"/>
        </w:rPr>
      </w:pPr>
    </w:p>
    <w:p w14:paraId="1D54BCBC"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Capacity and skills</w:t>
      </w:r>
    </w:p>
    <w:p w14:paraId="56D948D8"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2BEA6A83" w14:textId="77777777" w:rsidTr="008325D8">
        <w:tc>
          <w:tcPr>
            <w:tcW w:w="4786" w:type="dxa"/>
          </w:tcPr>
          <w:p w14:paraId="68CC6A6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Lesotho Tourism Public Private Partnership Contract Management Consulting </w:t>
            </w:r>
          </w:p>
          <w:p w14:paraId="051B96EA" w14:textId="77777777" w:rsidR="007250DC" w:rsidRPr="007250DC" w:rsidRDefault="007250DC" w:rsidP="007250DC">
            <w:pPr>
              <w:spacing w:before="0" w:after="0" w:line="240" w:lineRule="auto"/>
              <w:rPr>
                <w:rFonts w:ascii="Garamond" w:hAnsi="Garamond"/>
                <w:sz w:val="20"/>
                <w:szCs w:val="20"/>
              </w:rPr>
            </w:pPr>
          </w:p>
          <w:p w14:paraId="0E79552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Contract management Manual and resources:</w:t>
            </w:r>
          </w:p>
          <w:p w14:paraId="5FC4208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Volume I and II – Contract management training manual </w:t>
            </w:r>
          </w:p>
        </w:tc>
        <w:tc>
          <w:tcPr>
            <w:tcW w:w="4536" w:type="dxa"/>
          </w:tcPr>
          <w:p w14:paraId="02204B03" w14:textId="570DC293" w:rsidR="007250DC" w:rsidRPr="007250DC" w:rsidRDefault="007250DC" w:rsidP="007250DC">
            <w:pPr>
              <w:spacing w:before="0" w:after="0" w:line="240" w:lineRule="auto"/>
              <w:rPr>
                <w:rFonts w:ascii="Garamond" w:hAnsi="Garamond"/>
                <w:sz w:val="20"/>
                <w:szCs w:val="20"/>
              </w:rPr>
            </w:pPr>
            <w:r w:rsidRPr="007250DC">
              <w:rPr>
                <w:rFonts w:ascii="Garamond" w:hAnsi="Garamond"/>
                <w:color w:val="4F81BD" w:themeColor="accent1"/>
                <w:sz w:val="20"/>
                <w:szCs w:val="20"/>
              </w:rPr>
              <w:t>Doc 35 and 36</w:t>
            </w:r>
          </w:p>
        </w:tc>
      </w:tr>
    </w:tbl>
    <w:p w14:paraId="6830BC82"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061E652" w14:textId="77777777" w:rsidTr="008325D8">
        <w:tc>
          <w:tcPr>
            <w:tcW w:w="4786" w:type="dxa"/>
          </w:tcPr>
          <w:p w14:paraId="30BCA51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Training and capacity building for concessions, Tourism Concession Opportunities in conservation areas and maximising rural development (presentation)</w:t>
            </w:r>
          </w:p>
        </w:tc>
        <w:tc>
          <w:tcPr>
            <w:tcW w:w="4536" w:type="dxa"/>
          </w:tcPr>
          <w:p w14:paraId="501713D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http://www.slideshare.net/AnnaSpenceley/training-for-concessions-review-anna-spenceley-jim-barborak</w:t>
            </w:r>
          </w:p>
        </w:tc>
      </w:tr>
      <w:tr w:rsidR="007250DC" w:rsidRPr="007250DC" w14:paraId="1265AAB2" w14:textId="77777777" w:rsidTr="008325D8">
        <w:tc>
          <w:tcPr>
            <w:tcW w:w="4786" w:type="dxa"/>
          </w:tcPr>
          <w:p w14:paraId="66CD93E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government agencies need to know (presentation)</w:t>
            </w:r>
          </w:p>
        </w:tc>
        <w:tc>
          <w:tcPr>
            <w:tcW w:w="4536" w:type="dxa"/>
          </w:tcPr>
          <w:p w14:paraId="77AF1280"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http://www.slideshare.net/AnnaSpenceley/training-for-government-in-tourism-concessions-fransisco-pariella</w:t>
            </w:r>
          </w:p>
        </w:tc>
      </w:tr>
      <w:tr w:rsidR="007250DC" w:rsidRPr="007250DC" w14:paraId="6E13E132" w14:textId="77777777" w:rsidTr="008325D8">
        <w:tc>
          <w:tcPr>
            <w:tcW w:w="4786" w:type="dxa"/>
          </w:tcPr>
          <w:p w14:paraId="61521B3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the private sector needs to know (presentation)</w:t>
            </w:r>
          </w:p>
        </w:tc>
        <w:tc>
          <w:tcPr>
            <w:tcW w:w="4536" w:type="dxa"/>
          </w:tcPr>
          <w:p w14:paraId="25EC1CA6"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http://www.slideshare.net/AnnaSpenceley/ndzou-camp-chimanimani-training-andrew-kingman</w:t>
            </w:r>
          </w:p>
        </w:tc>
      </w:tr>
      <w:tr w:rsidR="007250DC" w:rsidRPr="007250DC" w14:paraId="1B2FF4F1" w14:textId="77777777" w:rsidTr="008325D8">
        <w:tc>
          <w:tcPr>
            <w:tcW w:w="4786" w:type="dxa"/>
          </w:tcPr>
          <w:p w14:paraId="0BB333A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communities and civil society need to know (presentation)</w:t>
            </w:r>
          </w:p>
        </w:tc>
        <w:tc>
          <w:tcPr>
            <w:tcW w:w="4536" w:type="dxa"/>
          </w:tcPr>
          <w:p w14:paraId="74D14423" w14:textId="77777777" w:rsidR="007250DC" w:rsidRPr="007250DC" w:rsidRDefault="00500A2A" w:rsidP="007250DC">
            <w:pPr>
              <w:spacing w:before="0" w:after="0" w:line="240" w:lineRule="auto"/>
              <w:rPr>
                <w:rFonts w:ascii="Garamond" w:hAnsi="Garamond"/>
                <w:color w:val="4F81BD" w:themeColor="accent1"/>
                <w:sz w:val="20"/>
                <w:szCs w:val="20"/>
              </w:rPr>
            </w:pPr>
            <w:hyperlink r:id="rId180" w:history="1">
              <w:r w:rsidR="007250DC" w:rsidRPr="007250DC">
                <w:rPr>
                  <w:rStyle w:val="Hyperlink"/>
                  <w:rFonts w:ascii="Garamond" w:hAnsi="Garamond"/>
                  <w:sz w:val="20"/>
                  <w:szCs w:val="20"/>
                </w:rPr>
                <w:t>http://www.slideshare.net/AnnaSpenceley/training-for-communities-tourism-concessions-ema-batey</w:t>
              </w:r>
            </w:hyperlink>
          </w:p>
        </w:tc>
      </w:tr>
    </w:tbl>
    <w:p w14:paraId="19D48FB4" w14:textId="77777777" w:rsidR="007250DC" w:rsidRPr="007250DC" w:rsidRDefault="007250DC" w:rsidP="007250DC">
      <w:pPr>
        <w:spacing w:before="0" w:after="0" w:line="240" w:lineRule="auto"/>
        <w:rPr>
          <w:rFonts w:ascii="Garamond" w:hAnsi="Garamond"/>
          <w:b/>
          <w:sz w:val="20"/>
          <w:szCs w:val="20"/>
        </w:rPr>
      </w:pPr>
    </w:p>
    <w:p w14:paraId="0A99B12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Manuals</w:t>
      </w:r>
    </w:p>
    <w:p w14:paraId="452EDB72"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4CF47B2D" w14:textId="77777777" w:rsidTr="008325D8">
        <w:tc>
          <w:tcPr>
            <w:tcW w:w="4786" w:type="dxa"/>
          </w:tcPr>
          <w:p w14:paraId="31A584E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Public Private Partnership Manual: National Treasury PPP Practice notes issued in terms of the Public Finance Management Act (South Africa)</w:t>
            </w:r>
          </w:p>
        </w:tc>
        <w:tc>
          <w:tcPr>
            <w:tcW w:w="4536" w:type="dxa"/>
          </w:tcPr>
          <w:p w14:paraId="35E929C7" w14:textId="77777777" w:rsidR="007250DC" w:rsidRPr="007250DC" w:rsidRDefault="00500A2A" w:rsidP="007250DC">
            <w:pPr>
              <w:spacing w:before="0" w:after="0" w:line="240" w:lineRule="auto"/>
              <w:rPr>
                <w:rFonts w:ascii="Garamond" w:hAnsi="Garamond"/>
                <w:color w:val="4F81BD" w:themeColor="accent1"/>
                <w:sz w:val="20"/>
                <w:szCs w:val="20"/>
              </w:rPr>
            </w:pPr>
            <w:hyperlink r:id="rId181" w:history="1">
              <w:r w:rsidR="007250DC" w:rsidRPr="007250DC">
                <w:rPr>
                  <w:rStyle w:val="Hyperlink"/>
                  <w:rFonts w:ascii="Garamond" w:hAnsi="Garamond"/>
                  <w:sz w:val="20"/>
                  <w:szCs w:val="20"/>
                </w:rPr>
                <w:t>http://www.ppp.gov.za</w:t>
              </w:r>
            </w:hyperlink>
          </w:p>
        </w:tc>
      </w:tr>
      <w:tr w:rsidR="00FC1EDE" w:rsidRPr="007250DC" w14:paraId="64E29E67" w14:textId="77777777" w:rsidTr="008325D8">
        <w:tc>
          <w:tcPr>
            <w:tcW w:w="4786" w:type="dxa"/>
          </w:tcPr>
          <w:p w14:paraId="7A67D5EE" w14:textId="3A690905"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Tips on relationship management</w:t>
            </w:r>
          </w:p>
        </w:tc>
        <w:tc>
          <w:tcPr>
            <w:tcW w:w="4536" w:type="dxa"/>
          </w:tcPr>
          <w:p w14:paraId="7C8712A1" w14:textId="6A8BCFD1" w:rsidR="00FC1EDE" w:rsidRDefault="00500A2A" w:rsidP="007250DC">
            <w:pPr>
              <w:spacing w:before="0" w:after="0" w:line="240" w:lineRule="auto"/>
            </w:pPr>
            <w:hyperlink r:id="rId182" w:history="1">
              <w:r w:rsidR="00FC1EDE" w:rsidRPr="007250DC">
                <w:rPr>
                  <w:rStyle w:val="Hyperlink"/>
                  <w:rFonts w:ascii="Garamond" w:hAnsi="Garamond"/>
                  <w:sz w:val="20"/>
                  <w:szCs w:val="20"/>
                </w:rPr>
                <w:t>http://tourisminvest.org/_manual/downloads/Tips_on_Relationship_Management.pdf</w:t>
              </w:r>
            </w:hyperlink>
          </w:p>
        </w:tc>
      </w:tr>
      <w:tr w:rsidR="00FC1EDE" w:rsidRPr="007250DC" w14:paraId="52F9F194" w14:textId="77777777" w:rsidTr="008325D8">
        <w:tc>
          <w:tcPr>
            <w:tcW w:w="4786" w:type="dxa"/>
          </w:tcPr>
          <w:p w14:paraId="313AE1B2" w14:textId="10B07E50"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Stakeholder engagement matrix</w:t>
            </w:r>
          </w:p>
        </w:tc>
        <w:tc>
          <w:tcPr>
            <w:tcW w:w="4536" w:type="dxa"/>
          </w:tcPr>
          <w:p w14:paraId="3AF137E4" w14:textId="5DEA806D" w:rsidR="00FC1EDE" w:rsidRDefault="00500A2A" w:rsidP="007250DC">
            <w:pPr>
              <w:spacing w:before="0" w:after="0" w:line="240" w:lineRule="auto"/>
            </w:pPr>
            <w:hyperlink r:id="rId183" w:history="1">
              <w:r w:rsidR="00FC1EDE" w:rsidRPr="007250DC">
                <w:rPr>
                  <w:rStyle w:val="Hyperlink"/>
                  <w:rFonts w:ascii="Garamond" w:hAnsi="Garamond"/>
                  <w:sz w:val="20"/>
                  <w:szCs w:val="20"/>
                </w:rPr>
                <w:t>http://tourisminvest.org/_manual/downloads/Stakeholder_Engagement_Process_Toolkit.pdf</w:t>
              </w:r>
            </w:hyperlink>
          </w:p>
        </w:tc>
      </w:tr>
      <w:tr w:rsidR="00FC1EDE" w:rsidRPr="007250DC" w14:paraId="4CB017E7" w14:textId="77777777" w:rsidTr="008325D8">
        <w:tc>
          <w:tcPr>
            <w:tcW w:w="4786" w:type="dxa"/>
          </w:tcPr>
          <w:p w14:paraId="16B2EBD3" w14:textId="6F9A7FF0"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Guidelines for concession applicants (Namibia)</w:t>
            </w:r>
          </w:p>
        </w:tc>
        <w:tc>
          <w:tcPr>
            <w:tcW w:w="4536" w:type="dxa"/>
          </w:tcPr>
          <w:p w14:paraId="690DACEE" w14:textId="152B03D7" w:rsidR="00FC1EDE" w:rsidRDefault="00500A2A" w:rsidP="007250DC">
            <w:pPr>
              <w:spacing w:before="0" w:after="0" w:line="240" w:lineRule="auto"/>
            </w:pPr>
            <w:hyperlink r:id="rId184" w:history="1">
              <w:r w:rsidR="00FC1EDE" w:rsidRPr="007250DC">
                <w:rPr>
                  <w:rStyle w:val="Hyperlink"/>
                  <w:rFonts w:ascii="Garamond" w:hAnsi="Garamond"/>
                  <w:sz w:val="20"/>
                  <w:szCs w:val="20"/>
                </w:rPr>
                <w:t>http://www.met.gov.na/Documents/Guidelines%20for%20Concession%20Applicants.pdf</w:t>
              </w:r>
            </w:hyperlink>
          </w:p>
        </w:tc>
      </w:tr>
    </w:tbl>
    <w:p w14:paraId="5A265CEA" w14:textId="77777777" w:rsidR="007250DC" w:rsidRPr="007250DC" w:rsidRDefault="007250DC" w:rsidP="007250DC">
      <w:pPr>
        <w:spacing w:before="0" w:after="0" w:line="240" w:lineRule="auto"/>
        <w:rPr>
          <w:rFonts w:ascii="Garamond" w:hAnsi="Garamond"/>
          <w:b/>
          <w:sz w:val="20"/>
          <w:szCs w:val="20"/>
        </w:rPr>
      </w:pPr>
    </w:p>
    <w:p w14:paraId="005073E9" w14:textId="77777777" w:rsidR="007250DC" w:rsidRPr="007250DC" w:rsidRDefault="007250DC" w:rsidP="007250DC">
      <w:pPr>
        <w:spacing w:before="0" w:after="0" w:line="240" w:lineRule="auto"/>
        <w:rPr>
          <w:rFonts w:ascii="Garamond" w:hAnsi="Garamond"/>
          <w:b/>
          <w:sz w:val="20"/>
          <w:szCs w:val="20"/>
        </w:rPr>
      </w:pPr>
    </w:p>
    <w:p w14:paraId="297B6832"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Monitoring and evaluation</w:t>
      </w:r>
    </w:p>
    <w:p w14:paraId="47AE85AB" w14:textId="77777777"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7E5902A1" w14:textId="77777777" w:rsidR="007250DC" w:rsidRPr="007250DC" w:rsidRDefault="007250DC" w:rsidP="007250DC">
      <w:pPr>
        <w:spacing w:before="0" w:after="0" w:line="240" w:lineRule="auto"/>
        <w:rPr>
          <w:rFonts w:ascii="Garamond" w:hAnsi="Garamond"/>
          <w:b/>
          <w:sz w:val="20"/>
          <w:szCs w:val="20"/>
        </w:rPr>
      </w:pPr>
    </w:p>
    <w:p w14:paraId="37C6D91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End of concession and next steps</w:t>
      </w:r>
    </w:p>
    <w:p w14:paraId="62842CD6" w14:textId="0371A17A"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5A0B6D6C" w14:textId="77777777" w:rsidR="007250DC" w:rsidRPr="007250DC" w:rsidRDefault="007250DC" w:rsidP="007250DC">
      <w:pPr>
        <w:spacing w:before="0" w:after="0" w:line="240" w:lineRule="auto"/>
        <w:rPr>
          <w:rFonts w:ascii="Garamond" w:hAnsi="Garamond"/>
          <w:sz w:val="20"/>
          <w:szCs w:val="20"/>
        </w:rPr>
      </w:pPr>
    </w:p>
    <w:p w14:paraId="03B8FEE3" w14:textId="2E3F0714"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Case studies</w:t>
      </w:r>
      <w:r w:rsidR="00FC1EDE">
        <w:rPr>
          <w:rFonts w:ascii="Garamond" w:hAnsi="Garamond"/>
          <w:b/>
          <w:sz w:val="20"/>
          <w:szCs w:val="20"/>
        </w:rPr>
        <w:t xml:space="preserve"> from within SADC</w:t>
      </w:r>
    </w:p>
    <w:p w14:paraId="6B170894"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51FBF62D" w14:textId="77777777" w:rsidTr="008325D8">
        <w:tc>
          <w:tcPr>
            <w:tcW w:w="4786" w:type="dxa"/>
          </w:tcPr>
          <w:p w14:paraId="6DB105DB"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Mozambique</w:t>
            </w:r>
          </w:p>
        </w:tc>
        <w:tc>
          <w:tcPr>
            <w:tcW w:w="4536" w:type="dxa"/>
          </w:tcPr>
          <w:p w14:paraId="3B3A9892" w14:textId="77777777" w:rsidR="007250DC" w:rsidRPr="007250DC" w:rsidRDefault="007250DC" w:rsidP="007250DC">
            <w:pPr>
              <w:spacing w:before="0" w:after="0" w:line="240" w:lineRule="auto"/>
              <w:rPr>
                <w:rFonts w:ascii="Garamond" w:hAnsi="Garamond"/>
                <w:b/>
                <w:color w:val="4F81BD" w:themeColor="accent1"/>
                <w:sz w:val="20"/>
                <w:szCs w:val="20"/>
              </w:rPr>
            </w:pPr>
          </w:p>
        </w:tc>
      </w:tr>
      <w:tr w:rsidR="007250DC" w:rsidRPr="007250DC" w14:paraId="12698AEB" w14:textId="77777777" w:rsidTr="008325D8">
        <w:tc>
          <w:tcPr>
            <w:tcW w:w="4786" w:type="dxa"/>
          </w:tcPr>
          <w:p w14:paraId="4A1FEDB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Facilitating tourism investment in the Maputo Elephant Reserve</w:t>
            </w:r>
          </w:p>
        </w:tc>
        <w:tc>
          <w:tcPr>
            <w:tcW w:w="4536" w:type="dxa"/>
          </w:tcPr>
          <w:p w14:paraId="45EF8FB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https://www.wbginvestmentclimate.org/uploads/MER_CaseStudy.pdf</w:t>
            </w:r>
          </w:p>
        </w:tc>
      </w:tr>
      <w:tr w:rsidR="007250DC" w:rsidRPr="007250DC" w14:paraId="053A972B" w14:textId="77777777" w:rsidTr="008325D8">
        <w:tc>
          <w:tcPr>
            <w:tcW w:w="4786" w:type="dxa"/>
            <w:vAlign w:val="bottom"/>
          </w:tcPr>
          <w:p w14:paraId="7603239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lastRenderedPageBreak/>
              <w:t>Tourism concessions in protected areas in Mozambique: Analysis of tourism concession models in protected areas in Mozambique</w:t>
            </w:r>
          </w:p>
        </w:tc>
        <w:tc>
          <w:tcPr>
            <w:tcW w:w="4536" w:type="dxa"/>
            <w:vAlign w:val="bottom"/>
          </w:tcPr>
          <w:p w14:paraId="717A8B3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http://anna.spenceley.co.uk/files/Files%20Sept%202012/SPEED-Reports-2012-004ConcessionsReport.pdf</w:t>
            </w:r>
          </w:p>
        </w:tc>
      </w:tr>
      <w:tr w:rsidR="007250DC" w:rsidRPr="007250DC" w14:paraId="1E6AB3C1" w14:textId="77777777" w:rsidTr="008325D8">
        <w:tc>
          <w:tcPr>
            <w:tcW w:w="4786" w:type="dxa"/>
          </w:tcPr>
          <w:p w14:paraId="33C6014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Tourism concessions management in Niassa National Reserve: The combined roles of governance, monitoring and research (2000-2012) (presentation)</w:t>
            </w:r>
          </w:p>
        </w:tc>
        <w:tc>
          <w:tcPr>
            <w:tcW w:w="4536" w:type="dxa"/>
          </w:tcPr>
          <w:p w14:paraId="4E2C8EA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http://www.slideshare.net/AnnaSpenceley/niassa-contract-management-anabela-rodrigues-vernon-booth</w:t>
            </w:r>
          </w:p>
        </w:tc>
      </w:tr>
      <w:tr w:rsidR="007250DC" w:rsidRPr="007250DC" w14:paraId="241E96BB" w14:textId="77777777" w:rsidTr="008325D8">
        <w:tc>
          <w:tcPr>
            <w:tcW w:w="4786" w:type="dxa"/>
          </w:tcPr>
          <w:p w14:paraId="7E7EC75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Concessions processes in Niassa Reserve, Mozambique (A hunting area) (presentation)</w:t>
            </w:r>
          </w:p>
        </w:tc>
        <w:tc>
          <w:tcPr>
            <w:tcW w:w="4536" w:type="dxa"/>
          </w:tcPr>
          <w:p w14:paraId="60B1E803"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http://www.slideshare.net/AnnaSpenceley/niassa-anabela-rodriques-vernon-booth</w:t>
            </w:r>
          </w:p>
        </w:tc>
      </w:tr>
      <w:tr w:rsidR="007250DC" w:rsidRPr="007250DC" w14:paraId="2671991E" w14:textId="77777777" w:rsidTr="008325D8">
        <w:tc>
          <w:tcPr>
            <w:tcW w:w="4786" w:type="dxa"/>
          </w:tcPr>
          <w:p w14:paraId="44893D0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Negotiation of the concession between the Carr Foundation and the Government of Mozambique for Gorongoza National Park (presentation)</w:t>
            </w:r>
          </w:p>
        </w:tc>
        <w:tc>
          <w:tcPr>
            <w:tcW w:w="4536" w:type="dxa"/>
          </w:tcPr>
          <w:p w14:paraId="5FF71F1E"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http://www.slideshare.net/AnnaSpenceley/gorongosa-concession-bartolomeu-soto</w:t>
            </w:r>
          </w:p>
        </w:tc>
      </w:tr>
      <w:tr w:rsidR="007250DC" w:rsidRPr="007250DC" w14:paraId="1D68F759" w14:textId="77777777" w:rsidTr="008325D8">
        <w:tc>
          <w:tcPr>
            <w:tcW w:w="4786" w:type="dxa"/>
          </w:tcPr>
          <w:p w14:paraId="6F0BD7D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Ponto Chemucane: Maputo Special Reserve – putting the community at the centre? (presentation)</w:t>
            </w:r>
          </w:p>
        </w:tc>
        <w:tc>
          <w:tcPr>
            <w:tcW w:w="4536" w:type="dxa"/>
          </w:tcPr>
          <w:p w14:paraId="3464E31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http://www.slideshare.net/AnnaSpenceley/chemucane-maputo-special-reserve-steve-collins</w:t>
            </w:r>
          </w:p>
        </w:tc>
      </w:tr>
      <w:tr w:rsidR="007250DC" w:rsidRPr="007250DC" w14:paraId="736828B3" w14:textId="77777777" w:rsidTr="008325D8">
        <w:tc>
          <w:tcPr>
            <w:tcW w:w="4786" w:type="dxa"/>
            <w:vAlign w:val="bottom"/>
          </w:tcPr>
          <w:p w14:paraId="5EE5CCD3"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cs="Times New Roman"/>
                <w:color w:val="000000"/>
                <w:sz w:val="20"/>
                <w:szCs w:val="20"/>
              </w:rPr>
              <w:t>Investor pack: Quirimbas National Park, Mozambique</w:t>
            </w:r>
          </w:p>
        </w:tc>
        <w:tc>
          <w:tcPr>
            <w:tcW w:w="4536" w:type="dxa"/>
            <w:vAlign w:val="bottom"/>
          </w:tcPr>
          <w:p w14:paraId="30EF9D09"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cs="Times New Roman"/>
                <w:color w:val="000000"/>
                <w:sz w:val="20"/>
                <w:szCs w:val="20"/>
              </w:rPr>
              <w:t>Doc package 89</w:t>
            </w:r>
          </w:p>
        </w:tc>
      </w:tr>
      <w:tr w:rsidR="007250DC" w:rsidRPr="007250DC" w14:paraId="0B0E0394" w14:textId="77777777" w:rsidTr="008325D8">
        <w:tc>
          <w:tcPr>
            <w:tcW w:w="4786" w:type="dxa"/>
          </w:tcPr>
          <w:p w14:paraId="7DEE515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South Africa</w:t>
            </w:r>
          </w:p>
        </w:tc>
        <w:tc>
          <w:tcPr>
            <w:tcW w:w="4536" w:type="dxa"/>
          </w:tcPr>
          <w:p w14:paraId="3AB34941" w14:textId="77777777" w:rsidR="007250DC" w:rsidRPr="007250DC" w:rsidRDefault="007250DC" w:rsidP="007250DC">
            <w:pPr>
              <w:spacing w:before="0" w:after="0" w:line="240" w:lineRule="auto"/>
              <w:rPr>
                <w:rFonts w:ascii="Garamond" w:hAnsi="Garamond"/>
                <w:b/>
                <w:sz w:val="20"/>
                <w:szCs w:val="20"/>
              </w:rPr>
            </w:pPr>
          </w:p>
        </w:tc>
      </w:tr>
      <w:tr w:rsidR="007250DC" w:rsidRPr="007250DC" w14:paraId="3052668C" w14:textId="77777777" w:rsidTr="008325D8">
        <w:tc>
          <w:tcPr>
            <w:tcW w:w="4786" w:type="dxa"/>
            <w:vAlign w:val="bottom"/>
          </w:tcPr>
          <w:p w14:paraId="33AC0AC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South African National Parks: a business overview</w:t>
            </w:r>
          </w:p>
        </w:tc>
        <w:tc>
          <w:tcPr>
            <w:tcW w:w="4536" w:type="dxa"/>
            <w:vAlign w:val="bottom"/>
          </w:tcPr>
          <w:p w14:paraId="6A25344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116</w:t>
            </w:r>
          </w:p>
        </w:tc>
      </w:tr>
      <w:tr w:rsidR="007250DC" w:rsidRPr="007250DC" w14:paraId="50ACDC4B" w14:textId="77777777" w:rsidTr="008325D8">
        <w:tc>
          <w:tcPr>
            <w:tcW w:w="4786" w:type="dxa"/>
          </w:tcPr>
          <w:p w14:paraId="6434E6E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Commercial tourism concessions: a means of generating income for South African National Park</w:t>
            </w:r>
          </w:p>
        </w:tc>
        <w:tc>
          <w:tcPr>
            <w:tcW w:w="4536" w:type="dxa"/>
          </w:tcPr>
          <w:p w14:paraId="5C8AB77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http://conservationfinance.org/guide/WPC/WPC_documents/Apps_06_Fearnhead_v1.pdf</w:t>
            </w:r>
          </w:p>
        </w:tc>
      </w:tr>
      <w:tr w:rsidR="007250DC" w:rsidRPr="007250DC" w14:paraId="57D5EB7B" w14:textId="77777777" w:rsidTr="008325D8">
        <w:tc>
          <w:tcPr>
            <w:tcW w:w="4786" w:type="dxa"/>
            <w:vAlign w:val="bottom"/>
          </w:tcPr>
          <w:p w14:paraId="128C0C7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Commercial ventures in South African protected areas</w:t>
            </w:r>
          </w:p>
        </w:tc>
        <w:tc>
          <w:tcPr>
            <w:tcW w:w="4536" w:type="dxa"/>
            <w:vAlign w:val="bottom"/>
          </w:tcPr>
          <w:p w14:paraId="21C6848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117</w:t>
            </w:r>
          </w:p>
        </w:tc>
      </w:tr>
      <w:tr w:rsidR="007250DC" w:rsidRPr="007250DC" w14:paraId="6421A3AD" w14:textId="77777777" w:rsidTr="008325D8">
        <w:tc>
          <w:tcPr>
            <w:tcW w:w="4786" w:type="dxa"/>
          </w:tcPr>
          <w:p w14:paraId="44B7A46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Concessions processes in South African National Parks</w:t>
            </w:r>
          </w:p>
        </w:tc>
        <w:tc>
          <w:tcPr>
            <w:tcW w:w="4536" w:type="dxa"/>
          </w:tcPr>
          <w:p w14:paraId="5429D6C8" w14:textId="77777777" w:rsidR="007250DC" w:rsidRPr="007250DC" w:rsidRDefault="00500A2A" w:rsidP="007250DC">
            <w:pPr>
              <w:spacing w:before="0" w:after="0" w:line="240" w:lineRule="auto"/>
              <w:rPr>
                <w:rFonts w:ascii="Garamond" w:hAnsi="Garamond"/>
                <w:color w:val="4F81BD" w:themeColor="accent1"/>
                <w:sz w:val="20"/>
                <w:szCs w:val="20"/>
              </w:rPr>
            </w:pPr>
            <w:hyperlink r:id="rId185" w:history="1">
              <w:r w:rsidR="007250DC" w:rsidRPr="007250DC">
                <w:rPr>
                  <w:rStyle w:val="Hyperlink"/>
                  <w:rFonts w:ascii="Garamond" w:hAnsi="Garamond"/>
                  <w:sz w:val="20"/>
                  <w:szCs w:val="20"/>
                </w:rPr>
                <w:t>http://www.slideshare.net/AnnaSpenceley/south-african-national-parks-concessions-processes-giju-</w:t>
              </w:r>
            </w:hyperlink>
            <w:r w:rsidR="007250DC" w:rsidRPr="007250DC">
              <w:rPr>
                <w:rFonts w:ascii="Garamond" w:hAnsi="Garamond"/>
                <w:color w:val="4F81BD" w:themeColor="accent1"/>
                <w:sz w:val="20"/>
                <w:szCs w:val="20"/>
              </w:rPr>
              <w:t>varghese</w:t>
            </w:r>
          </w:p>
        </w:tc>
      </w:tr>
      <w:tr w:rsidR="007250DC" w:rsidRPr="007250DC" w14:paraId="5CB57A10" w14:textId="77777777" w:rsidTr="008325D8">
        <w:tc>
          <w:tcPr>
            <w:tcW w:w="4786" w:type="dxa"/>
          </w:tcPr>
          <w:p w14:paraId="799108B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 contract management and monitoring: SANParks (presentation)</w:t>
            </w:r>
          </w:p>
        </w:tc>
        <w:tc>
          <w:tcPr>
            <w:tcW w:w="4536" w:type="dxa"/>
          </w:tcPr>
          <w:p w14:paraId="4C07A79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http://www.slideshare.net/AnnaSpenceley/san-parks-contract-management-giju-varghese</w:t>
            </w:r>
          </w:p>
        </w:tc>
      </w:tr>
      <w:tr w:rsidR="007250DC" w:rsidRPr="007250DC" w14:paraId="1688CC65" w14:textId="77777777" w:rsidTr="008325D8">
        <w:tc>
          <w:tcPr>
            <w:tcW w:w="4786" w:type="dxa"/>
          </w:tcPr>
          <w:p w14:paraId="39189DB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Public private partnerships – SANParks – the Rationale, benefits (from a constituency building perspective) (presentation)</w:t>
            </w:r>
          </w:p>
        </w:tc>
        <w:tc>
          <w:tcPr>
            <w:tcW w:w="4536" w:type="dxa"/>
          </w:tcPr>
          <w:p w14:paraId="00675086" w14:textId="77777777" w:rsidR="007250DC" w:rsidRPr="007250DC" w:rsidRDefault="00500A2A" w:rsidP="007250DC">
            <w:pPr>
              <w:spacing w:before="0" w:after="0" w:line="240" w:lineRule="auto"/>
              <w:rPr>
                <w:rFonts w:ascii="Garamond" w:hAnsi="Garamond"/>
                <w:sz w:val="20"/>
                <w:szCs w:val="20"/>
              </w:rPr>
            </w:pPr>
            <w:hyperlink r:id="rId186" w:history="1">
              <w:r w:rsidR="007250DC" w:rsidRPr="007250DC">
                <w:rPr>
                  <w:rStyle w:val="Hyperlink"/>
                  <w:rFonts w:ascii="Garamond" w:hAnsi="Garamond"/>
                  <w:sz w:val="20"/>
                  <w:szCs w:val="20"/>
                </w:rPr>
                <w:t>http://www.asl-foundation.org/documents/SanParkspresentation-ASLFordFoundationMaY2008.pdf</w:t>
              </w:r>
            </w:hyperlink>
          </w:p>
        </w:tc>
      </w:tr>
      <w:tr w:rsidR="007250DC" w:rsidRPr="007250DC" w14:paraId="350AB3C0" w14:textId="77777777" w:rsidTr="008325D8">
        <w:tc>
          <w:tcPr>
            <w:tcW w:w="4786" w:type="dxa"/>
          </w:tcPr>
          <w:p w14:paraId="1915FC8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Madikwe Community Lodges: Thakadu River Camp, Buffalo Ridge Safari Lodge (presentation)</w:t>
            </w:r>
          </w:p>
        </w:tc>
        <w:tc>
          <w:tcPr>
            <w:tcW w:w="4536" w:type="dxa"/>
          </w:tcPr>
          <w:p w14:paraId="7B84E9CF" w14:textId="77777777" w:rsidR="007250DC" w:rsidRPr="007250DC" w:rsidRDefault="00500A2A" w:rsidP="007250DC">
            <w:pPr>
              <w:spacing w:before="0" w:after="0" w:line="240" w:lineRule="auto"/>
              <w:rPr>
                <w:rFonts w:ascii="Garamond" w:hAnsi="Garamond"/>
                <w:sz w:val="20"/>
                <w:szCs w:val="20"/>
              </w:rPr>
            </w:pPr>
            <w:hyperlink r:id="rId187" w:history="1">
              <w:r w:rsidR="007250DC" w:rsidRPr="007250DC">
                <w:rPr>
                  <w:rStyle w:val="Hyperlink"/>
                  <w:rFonts w:ascii="Garamond" w:hAnsi="Garamond"/>
                  <w:sz w:val="20"/>
                  <w:szCs w:val="20"/>
                </w:rPr>
                <w:t>http://www.asl-foundation.org/documents/Madikwecasepresentation.pdf</w:t>
              </w:r>
            </w:hyperlink>
          </w:p>
        </w:tc>
      </w:tr>
      <w:tr w:rsidR="007250DC" w:rsidRPr="007250DC" w14:paraId="00B02146" w14:textId="77777777" w:rsidTr="008325D8">
        <w:tc>
          <w:tcPr>
            <w:tcW w:w="4786" w:type="dxa"/>
          </w:tcPr>
          <w:p w14:paraId="769E9B0C"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Namibia</w:t>
            </w:r>
          </w:p>
        </w:tc>
        <w:tc>
          <w:tcPr>
            <w:tcW w:w="4536" w:type="dxa"/>
          </w:tcPr>
          <w:p w14:paraId="3DAF1472" w14:textId="77777777" w:rsidR="007250DC" w:rsidRPr="007250DC" w:rsidRDefault="007250DC" w:rsidP="007250DC">
            <w:pPr>
              <w:spacing w:before="0" w:after="0" w:line="240" w:lineRule="auto"/>
              <w:rPr>
                <w:rFonts w:ascii="Garamond" w:hAnsi="Garamond"/>
                <w:b/>
                <w:sz w:val="20"/>
                <w:szCs w:val="20"/>
              </w:rPr>
            </w:pPr>
          </w:p>
        </w:tc>
      </w:tr>
      <w:tr w:rsidR="007250DC" w:rsidRPr="007250DC" w14:paraId="34B0DED2" w14:textId="77777777" w:rsidTr="008325D8">
        <w:tc>
          <w:tcPr>
            <w:tcW w:w="4786" w:type="dxa"/>
          </w:tcPr>
          <w:p w14:paraId="7FF9355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Concessions in Namibia’s protected areas (presentation)</w:t>
            </w:r>
          </w:p>
        </w:tc>
        <w:tc>
          <w:tcPr>
            <w:tcW w:w="4536" w:type="dxa"/>
          </w:tcPr>
          <w:p w14:paraId="167F8227" w14:textId="77777777" w:rsidR="007250DC" w:rsidRPr="007250DC" w:rsidRDefault="00500A2A" w:rsidP="007250DC">
            <w:pPr>
              <w:spacing w:before="0" w:after="0" w:line="240" w:lineRule="auto"/>
              <w:rPr>
                <w:rFonts w:ascii="Garamond" w:hAnsi="Garamond"/>
                <w:sz w:val="20"/>
                <w:szCs w:val="20"/>
              </w:rPr>
            </w:pPr>
            <w:hyperlink r:id="rId188" w:history="1">
              <w:r w:rsidR="007250DC" w:rsidRPr="007250DC">
                <w:rPr>
                  <w:rStyle w:val="Hyperlink"/>
                  <w:rFonts w:ascii="Garamond" w:hAnsi="Garamond"/>
                  <w:sz w:val="20"/>
                  <w:szCs w:val="20"/>
                </w:rPr>
                <w:t>http://www.asl-foundation.org/documents/ConcessionsinNamibiasProtectedAreas.pdf</w:t>
              </w:r>
            </w:hyperlink>
          </w:p>
        </w:tc>
      </w:tr>
      <w:tr w:rsidR="007250DC" w:rsidRPr="007250DC" w14:paraId="6F3243F4" w14:textId="77777777" w:rsidTr="008325D8">
        <w:tc>
          <w:tcPr>
            <w:tcW w:w="4786" w:type="dxa"/>
          </w:tcPr>
          <w:p w14:paraId="0060F12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Co-management and concessions in Namibia: Mechanisms for promoting community involvement in tourism (presentation)</w:t>
            </w:r>
          </w:p>
        </w:tc>
        <w:tc>
          <w:tcPr>
            <w:tcW w:w="4536" w:type="dxa"/>
          </w:tcPr>
          <w:p w14:paraId="221087B1" w14:textId="77777777" w:rsidR="007250DC" w:rsidRPr="007250DC" w:rsidRDefault="00500A2A" w:rsidP="007250DC">
            <w:pPr>
              <w:spacing w:before="0" w:after="0" w:line="240" w:lineRule="auto"/>
              <w:rPr>
                <w:rFonts w:ascii="Garamond" w:hAnsi="Garamond"/>
                <w:sz w:val="20"/>
                <w:szCs w:val="20"/>
              </w:rPr>
            </w:pPr>
            <w:hyperlink r:id="rId189" w:history="1">
              <w:r w:rsidR="007250DC" w:rsidRPr="007250DC">
                <w:rPr>
                  <w:rStyle w:val="Hyperlink"/>
                  <w:rFonts w:ascii="Garamond" w:hAnsi="Garamond"/>
                  <w:sz w:val="20"/>
                  <w:szCs w:val="20"/>
                </w:rPr>
                <w:t>http://www.asl-foundation.org/documents/Co-managementandConcessionsinNamibia.pdf</w:t>
              </w:r>
            </w:hyperlink>
          </w:p>
        </w:tc>
      </w:tr>
      <w:tr w:rsidR="007250DC" w:rsidRPr="007250DC" w14:paraId="5C73E435" w14:textId="77777777" w:rsidTr="008325D8">
        <w:tc>
          <w:tcPr>
            <w:tcW w:w="4786" w:type="dxa"/>
          </w:tcPr>
          <w:p w14:paraId="7665C7C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Torra Conservancy &amp; Damarland Camp, Namibia</w:t>
            </w:r>
          </w:p>
        </w:tc>
        <w:tc>
          <w:tcPr>
            <w:tcW w:w="4536" w:type="dxa"/>
          </w:tcPr>
          <w:p w14:paraId="39ADD291" w14:textId="77777777" w:rsidR="007250DC" w:rsidRPr="007250DC" w:rsidRDefault="00500A2A" w:rsidP="007250DC">
            <w:pPr>
              <w:spacing w:before="0" w:after="0" w:line="240" w:lineRule="auto"/>
              <w:rPr>
                <w:rFonts w:ascii="Garamond" w:hAnsi="Garamond"/>
                <w:sz w:val="20"/>
                <w:szCs w:val="20"/>
              </w:rPr>
            </w:pPr>
            <w:hyperlink r:id="rId190" w:history="1">
              <w:r w:rsidR="007250DC" w:rsidRPr="007250DC">
                <w:rPr>
                  <w:rStyle w:val="Hyperlink"/>
                  <w:rFonts w:ascii="Garamond" w:hAnsi="Garamond"/>
                  <w:sz w:val="20"/>
                  <w:szCs w:val="20"/>
                </w:rPr>
                <w:t>http://www.anna.spenceley.co.uk/files/TorraConservancycasepresentation.pdf</w:t>
              </w:r>
            </w:hyperlink>
          </w:p>
        </w:tc>
      </w:tr>
      <w:tr w:rsidR="007250DC" w:rsidRPr="007250DC" w14:paraId="3BBB8397" w14:textId="77777777" w:rsidTr="008325D8">
        <w:tc>
          <w:tcPr>
            <w:tcW w:w="4786" w:type="dxa"/>
            <w:vAlign w:val="bottom"/>
          </w:tcPr>
          <w:p w14:paraId="6506B5C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Getting the lion's share from tourism: private sector-community partnerships in Namibia</w:t>
            </w:r>
          </w:p>
        </w:tc>
        <w:tc>
          <w:tcPr>
            <w:tcW w:w="4536" w:type="dxa"/>
            <w:vAlign w:val="bottom"/>
          </w:tcPr>
          <w:p w14:paraId="4D79263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106</w:t>
            </w:r>
          </w:p>
        </w:tc>
      </w:tr>
    </w:tbl>
    <w:p w14:paraId="23B40482" w14:textId="77777777" w:rsidR="007250DC" w:rsidRPr="007250DC" w:rsidRDefault="007250DC" w:rsidP="007250DC">
      <w:pPr>
        <w:spacing w:before="0" w:after="0" w:line="240" w:lineRule="auto"/>
        <w:rPr>
          <w:rFonts w:ascii="Garamond" w:hAnsi="Garamond"/>
          <w:sz w:val="20"/>
          <w:szCs w:val="20"/>
        </w:rPr>
      </w:pPr>
    </w:p>
    <w:p w14:paraId="4C1DC219" w14:textId="77777777" w:rsidR="007250DC" w:rsidRPr="007250DC" w:rsidRDefault="007250DC" w:rsidP="007250DC">
      <w:pPr>
        <w:spacing w:before="0" w:after="0" w:line="240" w:lineRule="auto"/>
        <w:rPr>
          <w:rFonts w:ascii="Garamond" w:hAnsi="Garamond"/>
          <w:sz w:val="20"/>
          <w:szCs w:val="20"/>
        </w:rPr>
      </w:pPr>
    </w:p>
    <w:p w14:paraId="2CAC0EE0"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Case studies and examples from outside SADC</w:t>
      </w:r>
    </w:p>
    <w:p w14:paraId="5FC38063"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61FF4771" w14:textId="77777777" w:rsidTr="008325D8">
        <w:tc>
          <w:tcPr>
            <w:tcW w:w="4786" w:type="dxa"/>
          </w:tcPr>
          <w:p w14:paraId="6A214E1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Tourism and protected areas: partnerships in principle and practice (Australia)</w:t>
            </w:r>
          </w:p>
        </w:tc>
        <w:tc>
          <w:tcPr>
            <w:tcW w:w="4536" w:type="dxa"/>
          </w:tcPr>
          <w:p w14:paraId="1ABD0F43"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http://www.sustainabletourismonline.com/12/natural-protected-area-assets/tourism-and-protected-areas-partnerships-in-principle-and-practice</w:t>
            </w:r>
          </w:p>
        </w:tc>
      </w:tr>
      <w:tr w:rsidR="007250DC" w:rsidRPr="007250DC" w14:paraId="0A9614EC" w14:textId="77777777" w:rsidTr="008325D8">
        <w:tc>
          <w:tcPr>
            <w:tcW w:w="4786" w:type="dxa"/>
          </w:tcPr>
          <w:p w14:paraId="1964AC8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Information on concessions, how to apply, management of the concession, from New Zealand</w:t>
            </w:r>
          </w:p>
        </w:tc>
        <w:tc>
          <w:tcPr>
            <w:tcW w:w="4536" w:type="dxa"/>
          </w:tcPr>
          <w:p w14:paraId="463C18F4" w14:textId="77777777" w:rsidR="007250DC" w:rsidRPr="007250DC" w:rsidRDefault="00500A2A" w:rsidP="007250DC">
            <w:pPr>
              <w:spacing w:before="0" w:after="0" w:line="240" w:lineRule="auto"/>
              <w:rPr>
                <w:rFonts w:ascii="Garamond" w:hAnsi="Garamond"/>
                <w:color w:val="4F81BD" w:themeColor="accent1"/>
                <w:sz w:val="20"/>
                <w:szCs w:val="20"/>
              </w:rPr>
            </w:pPr>
            <w:hyperlink r:id="rId191" w:history="1">
              <w:r w:rsidR="007250DC" w:rsidRPr="007250DC">
                <w:rPr>
                  <w:rStyle w:val="Hyperlink"/>
                  <w:rFonts w:ascii="Garamond" w:hAnsi="Garamond"/>
                  <w:sz w:val="20"/>
                  <w:szCs w:val="20"/>
                </w:rPr>
                <w:t>http://www.doc.govt.nz/about-doc/concessions-and-permits/concessions/</w:t>
              </w:r>
            </w:hyperlink>
          </w:p>
        </w:tc>
      </w:tr>
      <w:tr w:rsidR="007250DC" w:rsidRPr="007250DC" w14:paraId="30784B4E" w14:textId="77777777" w:rsidTr="008325D8">
        <w:tc>
          <w:tcPr>
            <w:tcW w:w="4786" w:type="dxa"/>
          </w:tcPr>
          <w:p w14:paraId="3AAD51C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Sustainable financing of protected areas in Cambodia: Phnom Aural and Phnom Samkos wildlife sanctuaries</w:t>
            </w:r>
          </w:p>
        </w:tc>
        <w:tc>
          <w:tcPr>
            <w:tcW w:w="4536" w:type="dxa"/>
          </w:tcPr>
          <w:p w14:paraId="2626903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s="Times New Roman"/>
                <w:color w:val="000000"/>
                <w:sz w:val="20"/>
                <w:szCs w:val="20"/>
              </w:rPr>
              <w:t>Doc 93</w:t>
            </w:r>
          </w:p>
        </w:tc>
      </w:tr>
      <w:tr w:rsidR="007250DC" w:rsidRPr="007250DC" w14:paraId="18BB7A4E" w14:textId="77777777" w:rsidTr="008325D8">
        <w:tc>
          <w:tcPr>
            <w:tcW w:w="4786" w:type="dxa"/>
          </w:tcPr>
          <w:p w14:paraId="11EDAC5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A tale of two parks, United States</w:t>
            </w:r>
          </w:p>
        </w:tc>
        <w:tc>
          <w:tcPr>
            <w:tcW w:w="4536" w:type="dxa"/>
          </w:tcPr>
          <w:p w14:paraId="65F8E6CF" w14:textId="77777777" w:rsidR="007250DC" w:rsidRPr="007250DC" w:rsidRDefault="00500A2A" w:rsidP="007250DC">
            <w:pPr>
              <w:spacing w:before="0" w:after="0" w:line="240" w:lineRule="auto"/>
              <w:rPr>
                <w:rFonts w:ascii="Garamond" w:hAnsi="Garamond"/>
                <w:sz w:val="20"/>
                <w:szCs w:val="20"/>
              </w:rPr>
            </w:pPr>
            <w:hyperlink r:id="rId192" w:history="1">
              <w:r w:rsidR="007250DC" w:rsidRPr="007250DC">
                <w:rPr>
                  <w:rStyle w:val="Hyperlink"/>
                  <w:rFonts w:ascii="Garamond" w:hAnsi="Garamond"/>
                  <w:sz w:val="20"/>
                  <w:szCs w:val="20"/>
                </w:rPr>
                <w:t>http://perc.org/articles/tale-two-parks</w:t>
              </w:r>
            </w:hyperlink>
          </w:p>
        </w:tc>
      </w:tr>
      <w:tr w:rsidR="007250DC" w:rsidRPr="007250DC" w14:paraId="5E07A0D5" w14:textId="77777777" w:rsidTr="008325D8">
        <w:tc>
          <w:tcPr>
            <w:tcW w:w="4786" w:type="dxa"/>
            <w:vAlign w:val="bottom"/>
          </w:tcPr>
          <w:p w14:paraId="6B4FB369"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Socio-economic effects of concession-based tourism in New Zealand’s national parks</w:t>
            </w:r>
          </w:p>
        </w:tc>
        <w:tc>
          <w:tcPr>
            <w:tcW w:w="4536" w:type="dxa"/>
            <w:vAlign w:val="bottom"/>
          </w:tcPr>
          <w:p w14:paraId="6BA2C25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http://www.doc.govt.nz/documents/science-and-technical/sfc309entire.pdf</w:t>
            </w:r>
          </w:p>
        </w:tc>
      </w:tr>
    </w:tbl>
    <w:p w14:paraId="2B9815E2" w14:textId="77777777" w:rsidR="007250DC" w:rsidRPr="006311F5" w:rsidRDefault="007250DC" w:rsidP="009C1E29">
      <w:pPr>
        <w:spacing w:line="240" w:lineRule="auto"/>
        <w:rPr>
          <w:rFonts w:ascii="Garamond" w:hAnsi="Garamond"/>
        </w:rPr>
      </w:pPr>
    </w:p>
    <w:p w14:paraId="0896D59D" w14:textId="4382F35E" w:rsidR="009C1E29" w:rsidRPr="006311F5" w:rsidRDefault="00A7435D" w:rsidP="009C1E29">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2" w:name="_Ref268939862"/>
      <w:bookmarkStart w:id="83" w:name="_Toc269636358"/>
      <w:r>
        <w:rPr>
          <w:rFonts w:ascii="Garamond" w:hAnsi="Garamond"/>
        </w:rPr>
        <w:t>Templates</w:t>
      </w:r>
      <w:bookmarkEnd w:id="82"/>
      <w:bookmarkEnd w:id="83"/>
    </w:p>
    <w:p w14:paraId="3818B5DC" w14:textId="77777777" w:rsidR="00F47607" w:rsidRDefault="00F47607" w:rsidP="00F47607">
      <w:pPr>
        <w:spacing w:before="0" w:after="0" w:line="240" w:lineRule="auto"/>
        <w:rPr>
          <w:rFonts w:ascii="Garamond" w:hAnsi="Garamond"/>
          <w:b/>
          <w:sz w:val="20"/>
          <w:szCs w:val="20"/>
        </w:rPr>
      </w:pPr>
    </w:p>
    <w:p w14:paraId="69F9F61B" w14:textId="4DAA2F2C" w:rsidR="00F47607" w:rsidRPr="007250DC" w:rsidRDefault="00F47607" w:rsidP="00F47607">
      <w:pPr>
        <w:spacing w:before="0" w:after="0" w:line="240" w:lineRule="auto"/>
        <w:rPr>
          <w:rFonts w:ascii="Garamond" w:hAnsi="Garamond"/>
          <w:b/>
          <w:sz w:val="20"/>
          <w:szCs w:val="20"/>
        </w:rPr>
      </w:pPr>
      <w:r>
        <w:rPr>
          <w:rFonts w:ascii="Garamond" w:hAnsi="Garamond"/>
          <w:b/>
          <w:sz w:val="20"/>
          <w:szCs w:val="20"/>
        </w:rPr>
        <w:t>Template procurement documents</w:t>
      </w:r>
    </w:p>
    <w:tbl>
      <w:tblPr>
        <w:tblStyle w:val="TableGrid"/>
        <w:tblW w:w="9322" w:type="dxa"/>
        <w:tblLayout w:type="fixed"/>
        <w:tblLook w:val="04A0" w:firstRow="1" w:lastRow="0" w:firstColumn="1" w:lastColumn="0" w:noHBand="0" w:noVBand="1"/>
      </w:tblPr>
      <w:tblGrid>
        <w:gridCol w:w="6912"/>
        <w:gridCol w:w="2410"/>
      </w:tblGrid>
      <w:tr w:rsidR="00F47607" w:rsidRPr="007250DC" w14:paraId="14459AE8" w14:textId="77777777" w:rsidTr="008325D8">
        <w:tc>
          <w:tcPr>
            <w:tcW w:w="6912" w:type="dxa"/>
          </w:tcPr>
          <w:p w14:paraId="2705943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lastRenderedPageBreak/>
              <w:t>Expression of Interest:</w:t>
            </w:r>
          </w:p>
        </w:tc>
        <w:tc>
          <w:tcPr>
            <w:tcW w:w="2410" w:type="dxa"/>
          </w:tcPr>
          <w:p w14:paraId="1C12B20F" w14:textId="77777777" w:rsidR="00F47607" w:rsidRPr="007250DC" w:rsidRDefault="00F47607" w:rsidP="00FE59F6">
            <w:pPr>
              <w:spacing w:before="0" w:after="0" w:line="240" w:lineRule="auto"/>
              <w:rPr>
                <w:rFonts w:ascii="Garamond" w:hAnsi="Garamond"/>
                <w:sz w:val="20"/>
                <w:szCs w:val="20"/>
              </w:rPr>
            </w:pPr>
          </w:p>
        </w:tc>
      </w:tr>
      <w:tr w:rsidR="00F47607" w:rsidRPr="007250DC" w14:paraId="386CFEC1" w14:textId="77777777" w:rsidTr="008325D8">
        <w:tc>
          <w:tcPr>
            <w:tcW w:w="6912" w:type="dxa"/>
          </w:tcPr>
          <w:p w14:paraId="4D546543"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 (restaurant)</w:t>
            </w:r>
          </w:p>
        </w:tc>
        <w:tc>
          <w:tcPr>
            <w:tcW w:w="2410" w:type="dxa"/>
          </w:tcPr>
          <w:p w14:paraId="39BD90E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90</w:t>
            </w:r>
          </w:p>
        </w:tc>
      </w:tr>
      <w:tr w:rsidR="00F47607" w:rsidRPr="007250DC" w14:paraId="1E10A739" w14:textId="77777777" w:rsidTr="008325D8">
        <w:tc>
          <w:tcPr>
            <w:tcW w:w="6912" w:type="dxa"/>
          </w:tcPr>
          <w:p w14:paraId="4876103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 (tourism)</w:t>
            </w:r>
          </w:p>
        </w:tc>
        <w:tc>
          <w:tcPr>
            <w:tcW w:w="2410" w:type="dxa"/>
          </w:tcPr>
          <w:p w14:paraId="745939F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75</w:t>
            </w:r>
          </w:p>
        </w:tc>
      </w:tr>
      <w:tr w:rsidR="00F47607" w:rsidRPr="007250DC" w14:paraId="3295EF7F" w14:textId="77777777" w:rsidTr="008325D8">
        <w:tc>
          <w:tcPr>
            <w:tcW w:w="6912" w:type="dxa"/>
          </w:tcPr>
          <w:p w14:paraId="7FEBF31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Screening checklist</w:t>
            </w:r>
          </w:p>
        </w:tc>
        <w:tc>
          <w:tcPr>
            <w:tcW w:w="2410" w:type="dxa"/>
          </w:tcPr>
          <w:p w14:paraId="19D8F0A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70</w:t>
            </w:r>
          </w:p>
        </w:tc>
      </w:tr>
      <w:tr w:rsidR="00F47607" w:rsidRPr="007250DC" w14:paraId="52467992" w14:textId="77777777" w:rsidTr="008325D8">
        <w:tc>
          <w:tcPr>
            <w:tcW w:w="6912" w:type="dxa"/>
          </w:tcPr>
          <w:p w14:paraId="3D119C06"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Request for proposals:</w:t>
            </w:r>
          </w:p>
        </w:tc>
        <w:tc>
          <w:tcPr>
            <w:tcW w:w="2410" w:type="dxa"/>
          </w:tcPr>
          <w:p w14:paraId="679B778E" w14:textId="77777777" w:rsidR="00F47607" w:rsidRPr="007250DC" w:rsidRDefault="00F47607" w:rsidP="00FE59F6">
            <w:pPr>
              <w:spacing w:before="0" w:after="0" w:line="240" w:lineRule="auto"/>
              <w:rPr>
                <w:rFonts w:ascii="Garamond" w:hAnsi="Garamond"/>
                <w:sz w:val="20"/>
                <w:szCs w:val="20"/>
              </w:rPr>
            </w:pPr>
          </w:p>
        </w:tc>
      </w:tr>
      <w:tr w:rsidR="00F47607" w:rsidRPr="007250DC" w14:paraId="368F10C2" w14:textId="77777777" w:rsidTr="008325D8">
        <w:tc>
          <w:tcPr>
            <w:tcW w:w="6912" w:type="dxa"/>
          </w:tcPr>
          <w:p w14:paraId="74B2C0F5"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w:t>
            </w:r>
          </w:p>
        </w:tc>
        <w:tc>
          <w:tcPr>
            <w:tcW w:w="2410" w:type="dxa"/>
          </w:tcPr>
          <w:p w14:paraId="08A17EE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76</w:t>
            </w:r>
          </w:p>
        </w:tc>
      </w:tr>
      <w:tr w:rsidR="00F47607" w:rsidRPr="007250DC" w14:paraId="4D8C3B61" w14:textId="77777777" w:rsidTr="008325D8">
        <w:tc>
          <w:tcPr>
            <w:tcW w:w="6912" w:type="dxa"/>
          </w:tcPr>
          <w:p w14:paraId="2982A0F8"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Screening checklist example</w:t>
            </w:r>
          </w:p>
        </w:tc>
        <w:tc>
          <w:tcPr>
            <w:tcW w:w="2410" w:type="dxa"/>
          </w:tcPr>
          <w:p w14:paraId="1366104E"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70</w:t>
            </w:r>
          </w:p>
        </w:tc>
      </w:tr>
      <w:tr w:rsidR="00F47607" w:rsidRPr="007250DC" w14:paraId="23F06325" w14:textId="77777777" w:rsidTr="008325D8">
        <w:tc>
          <w:tcPr>
            <w:tcW w:w="6912" w:type="dxa"/>
          </w:tcPr>
          <w:p w14:paraId="17CED72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Contracts:</w:t>
            </w:r>
          </w:p>
        </w:tc>
        <w:tc>
          <w:tcPr>
            <w:tcW w:w="2410" w:type="dxa"/>
          </w:tcPr>
          <w:p w14:paraId="75219224" w14:textId="77777777" w:rsidR="00F47607" w:rsidRPr="007250DC" w:rsidRDefault="00F47607" w:rsidP="00FE59F6">
            <w:pPr>
              <w:spacing w:before="0" w:after="0" w:line="240" w:lineRule="auto"/>
              <w:rPr>
                <w:rFonts w:ascii="Garamond" w:hAnsi="Garamond"/>
                <w:sz w:val="20"/>
                <w:szCs w:val="20"/>
              </w:rPr>
            </w:pPr>
          </w:p>
        </w:tc>
      </w:tr>
      <w:tr w:rsidR="00F47607" w:rsidRPr="007250DC" w14:paraId="5123510C" w14:textId="77777777" w:rsidTr="008325D8">
        <w:tc>
          <w:tcPr>
            <w:tcW w:w="6912" w:type="dxa"/>
          </w:tcPr>
          <w:p w14:paraId="581843DA"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Public Private Partnership / Joint venture</w:t>
            </w:r>
          </w:p>
        </w:tc>
        <w:tc>
          <w:tcPr>
            <w:tcW w:w="2410" w:type="dxa"/>
          </w:tcPr>
          <w:p w14:paraId="35EFF1F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44, Doc 45</w:t>
            </w:r>
          </w:p>
        </w:tc>
      </w:tr>
      <w:tr w:rsidR="00F47607" w:rsidRPr="007250DC" w14:paraId="1E65102A" w14:textId="77777777" w:rsidTr="008325D8">
        <w:tc>
          <w:tcPr>
            <w:tcW w:w="6912" w:type="dxa"/>
          </w:tcPr>
          <w:p w14:paraId="52E926E7"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Community concession</w:t>
            </w:r>
          </w:p>
        </w:tc>
        <w:tc>
          <w:tcPr>
            <w:tcW w:w="2410" w:type="dxa"/>
          </w:tcPr>
          <w:p w14:paraId="55865B2F"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38</w:t>
            </w:r>
          </w:p>
        </w:tc>
      </w:tr>
    </w:tbl>
    <w:p w14:paraId="5AD00A08" w14:textId="77777777" w:rsidR="00F50142" w:rsidRDefault="00F50142" w:rsidP="00F50142">
      <w:pPr>
        <w:spacing w:before="0" w:after="0" w:line="240" w:lineRule="auto"/>
        <w:rPr>
          <w:rFonts w:ascii="Garamond" w:hAnsi="Garamond"/>
        </w:rPr>
      </w:pPr>
    </w:p>
    <w:p w14:paraId="3E9C8CA8" w14:textId="2E723F2A" w:rsidR="00F47607" w:rsidRPr="00F47607" w:rsidRDefault="00F47607" w:rsidP="00F50142">
      <w:pPr>
        <w:spacing w:before="0" w:after="0" w:line="240" w:lineRule="auto"/>
        <w:rPr>
          <w:rFonts w:ascii="Garamond" w:hAnsi="Garamond"/>
          <w:b/>
        </w:rPr>
      </w:pPr>
      <w:r w:rsidRPr="00F47607">
        <w:rPr>
          <w:rFonts w:ascii="Garamond" w:hAnsi="Garamond"/>
          <w:b/>
        </w:rPr>
        <w:t>Terms of reference for transaction advisors and specialist</w:t>
      </w:r>
    </w:p>
    <w:tbl>
      <w:tblPr>
        <w:tblStyle w:val="TableGrid"/>
        <w:tblW w:w="9322" w:type="dxa"/>
        <w:tblLayout w:type="fixed"/>
        <w:tblLook w:val="04A0" w:firstRow="1" w:lastRow="0" w:firstColumn="1" w:lastColumn="0" w:noHBand="0" w:noVBand="1"/>
      </w:tblPr>
      <w:tblGrid>
        <w:gridCol w:w="6912"/>
        <w:gridCol w:w="2410"/>
      </w:tblGrid>
      <w:tr w:rsidR="00F47607" w:rsidRPr="007250DC" w14:paraId="4179E548" w14:textId="77777777" w:rsidTr="008325D8">
        <w:tc>
          <w:tcPr>
            <w:tcW w:w="6912" w:type="dxa"/>
          </w:tcPr>
          <w:p w14:paraId="29EE9108"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Local concession program coordinator</w:t>
            </w:r>
          </w:p>
        </w:tc>
        <w:tc>
          <w:tcPr>
            <w:tcW w:w="2410" w:type="dxa"/>
          </w:tcPr>
          <w:p w14:paraId="403EBA3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121</w:t>
            </w:r>
          </w:p>
        </w:tc>
      </w:tr>
      <w:tr w:rsidR="00F47607" w:rsidRPr="007250DC" w14:paraId="776AD8FE" w14:textId="77777777" w:rsidTr="008325D8">
        <w:tc>
          <w:tcPr>
            <w:tcW w:w="6912" w:type="dxa"/>
          </w:tcPr>
          <w:p w14:paraId="7C5DE22E"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Investment Promotion and Investment Climate Analyst</w:t>
            </w:r>
          </w:p>
        </w:tc>
        <w:tc>
          <w:tcPr>
            <w:tcW w:w="2410" w:type="dxa"/>
          </w:tcPr>
          <w:p w14:paraId="38BAF58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122</w:t>
            </w:r>
          </w:p>
        </w:tc>
      </w:tr>
      <w:tr w:rsidR="00F47607" w:rsidRPr="007250DC" w14:paraId="39E3C8C3" w14:textId="77777777" w:rsidTr="008325D8">
        <w:tc>
          <w:tcPr>
            <w:tcW w:w="6912" w:type="dxa"/>
          </w:tcPr>
          <w:p w14:paraId="5913800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Institutional specialist</w:t>
            </w:r>
          </w:p>
        </w:tc>
        <w:tc>
          <w:tcPr>
            <w:tcW w:w="2410" w:type="dxa"/>
          </w:tcPr>
          <w:p w14:paraId="5C22B0C1"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123</w:t>
            </w:r>
          </w:p>
        </w:tc>
      </w:tr>
      <w:tr w:rsidR="00F47607" w:rsidRPr="007250DC" w14:paraId="01B50C44" w14:textId="77777777" w:rsidTr="008325D8">
        <w:tc>
          <w:tcPr>
            <w:tcW w:w="6912" w:type="dxa"/>
          </w:tcPr>
          <w:p w14:paraId="7299A2D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Institutional champion: operational and financial analysis</w:t>
            </w:r>
          </w:p>
        </w:tc>
        <w:tc>
          <w:tcPr>
            <w:tcW w:w="2410" w:type="dxa"/>
          </w:tcPr>
          <w:p w14:paraId="0B096003"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124</w:t>
            </w:r>
          </w:p>
        </w:tc>
      </w:tr>
      <w:tr w:rsidR="00F47607" w:rsidRPr="007250DC" w14:paraId="7C028AD8" w14:textId="77777777" w:rsidTr="008325D8">
        <w:tc>
          <w:tcPr>
            <w:tcW w:w="6912" w:type="dxa"/>
          </w:tcPr>
          <w:p w14:paraId="19A43086"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Legal Advisor</w:t>
            </w:r>
          </w:p>
        </w:tc>
        <w:tc>
          <w:tcPr>
            <w:tcW w:w="2410" w:type="dxa"/>
          </w:tcPr>
          <w:p w14:paraId="4AE6316A"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125</w:t>
            </w:r>
          </w:p>
        </w:tc>
      </w:tr>
      <w:tr w:rsidR="00F47607" w:rsidRPr="007250DC" w14:paraId="5FDE7622" w14:textId="77777777" w:rsidTr="008325D8">
        <w:tc>
          <w:tcPr>
            <w:tcW w:w="6912" w:type="dxa"/>
          </w:tcPr>
          <w:p w14:paraId="08956A6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Tourism investment specialist</w:t>
            </w:r>
          </w:p>
        </w:tc>
        <w:tc>
          <w:tcPr>
            <w:tcW w:w="2410" w:type="dxa"/>
          </w:tcPr>
          <w:p w14:paraId="67205EB7"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126</w:t>
            </w:r>
          </w:p>
        </w:tc>
      </w:tr>
      <w:tr w:rsidR="00F47607" w:rsidRPr="007250DC" w14:paraId="49C873C4" w14:textId="77777777" w:rsidTr="008325D8">
        <w:tc>
          <w:tcPr>
            <w:tcW w:w="6912" w:type="dxa"/>
          </w:tcPr>
          <w:p w14:paraId="7466E684"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Transaction advisor</w:t>
            </w:r>
          </w:p>
        </w:tc>
        <w:tc>
          <w:tcPr>
            <w:tcW w:w="2410" w:type="dxa"/>
          </w:tcPr>
          <w:p w14:paraId="2AA652EF"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127</w:t>
            </w:r>
          </w:p>
        </w:tc>
      </w:tr>
      <w:tr w:rsidR="00F47607" w:rsidRPr="007250DC" w14:paraId="5AC6907C" w14:textId="77777777" w:rsidTr="008325D8">
        <w:tc>
          <w:tcPr>
            <w:tcW w:w="6912" w:type="dxa"/>
          </w:tcPr>
          <w:p w14:paraId="2A0DF0F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Concession specialist</w:t>
            </w:r>
          </w:p>
        </w:tc>
        <w:tc>
          <w:tcPr>
            <w:tcW w:w="2410" w:type="dxa"/>
          </w:tcPr>
          <w:p w14:paraId="73E2B1A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128</w:t>
            </w:r>
          </w:p>
        </w:tc>
      </w:tr>
      <w:tr w:rsidR="00F47607" w:rsidRPr="007250DC" w14:paraId="0E898AFF" w14:textId="77777777" w:rsidTr="008325D8">
        <w:tc>
          <w:tcPr>
            <w:tcW w:w="6912" w:type="dxa"/>
          </w:tcPr>
          <w:p w14:paraId="0EA1DB1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Social and environmental site assessment</w:t>
            </w:r>
          </w:p>
        </w:tc>
        <w:tc>
          <w:tcPr>
            <w:tcW w:w="2410" w:type="dxa"/>
          </w:tcPr>
          <w:p w14:paraId="725DAB8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129</w:t>
            </w:r>
          </w:p>
        </w:tc>
      </w:tr>
      <w:tr w:rsidR="00F47607" w:rsidRPr="007250DC" w14:paraId="570B0FDE" w14:textId="77777777" w:rsidTr="008325D8">
        <w:tc>
          <w:tcPr>
            <w:tcW w:w="6912" w:type="dxa"/>
          </w:tcPr>
          <w:p w14:paraId="4DA61A5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Due diligence legal study</w:t>
            </w:r>
          </w:p>
        </w:tc>
        <w:tc>
          <w:tcPr>
            <w:tcW w:w="2410" w:type="dxa"/>
          </w:tcPr>
          <w:p w14:paraId="784DADA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130</w:t>
            </w:r>
          </w:p>
        </w:tc>
      </w:tr>
      <w:tr w:rsidR="00F47607" w:rsidRPr="007250DC" w14:paraId="73DC89F7" w14:textId="77777777" w:rsidTr="008325D8">
        <w:tc>
          <w:tcPr>
            <w:tcW w:w="6912" w:type="dxa"/>
          </w:tcPr>
          <w:p w14:paraId="5E6CA6C4"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Design of market database</w:t>
            </w:r>
          </w:p>
        </w:tc>
        <w:tc>
          <w:tcPr>
            <w:tcW w:w="2410" w:type="dxa"/>
          </w:tcPr>
          <w:p w14:paraId="0946955B"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131</w:t>
            </w:r>
          </w:p>
        </w:tc>
      </w:tr>
      <w:tr w:rsidR="00F47607" w:rsidRPr="007250DC" w14:paraId="741EAB3B" w14:textId="77777777" w:rsidTr="008325D8">
        <w:tc>
          <w:tcPr>
            <w:tcW w:w="6912" w:type="dxa"/>
          </w:tcPr>
          <w:p w14:paraId="6EA5B4A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Tender support coordinator</w:t>
            </w:r>
          </w:p>
        </w:tc>
        <w:tc>
          <w:tcPr>
            <w:tcW w:w="2410" w:type="dxa"/>
          </w:tcPr>
          <w:p w14:paraId="660F4D8B"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132</w:t>
            </w:r>
          </w:p>
        </w:tc>
      </w:tr>
      <w:tr w:rsidR="00F47607" w:rsidRPr="007250DC" w14:paraId="2CE9BA91" w14:textId="77777777" w:rsidTr="008325D8">
        <w:tc>
          <w:tcPr>
            <w:tcW w:w="6912" w:type="dxa"/>
          </w:tcPr>
          <w:p w14:paraId="579BD93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Investor aftercare unit</w:t>
            </w:r>
          </w:p>
        </w:tc>
        <w:tc>
          <w:tcPr>
            <w:tcW w:w="2410" w:type="dxa"/>
          </w:tcPr>
          <w:p w14:paraId="10E7EFD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133</w:t>
            </w:r>
          </w:p>
        </w:tc>
      </w:tr>
    </w:tbl>
    <w:p w14:paraId="1DA718E1" w14:textId="77777777" w:rsidR="00F47607" w:rsidRDefault="00F47607" w:rsidP="00F47607">
      <w:pPr>
        <w:spacing w:before="0" w:after="0" w:line="240" w:lineRule="auto"/>
        <w:rPr>
          <w:rFonts w:ascii="Garamond" w:hAnsi="Garamond"/>
          <w:sz w:val="20"/>
          <w:szCs w:val="20"/>
        </w:rPr>
      </w:pPr>
    </w:p>
    <w:p w14:paraId="6DA26DA8" w14:textId="74CAFBBB" w:rsidR="00F47607" w:rsidRPr="00F47607" w:rsidRDefault="00F47607" w:rsidP="00F47607">
      <w:pPr>
        <w:spacing w:before="0" w:after="0" w:line="240" w:lineRule="auto"/>
        <w:rPr>
          <w:rFonts w:ascii="Garamond" w:hAnsi="Garamond"/>
          <w:b/>
          <w:sz w:val="20"/>
          <w:szCs w:val="20"/>
        </w:rPr>
      </w:pPr>
      <w:r w:rsidRPr="00F47607">
        <w:rPr>
          <w:rFonts w:ascii="Garamond" w:hAnsi="Garamond"/>
          <w:b/>
          <w:sz w:val="20"/>
          <w:szCs w:val="20"/>
        </w:rPr>
        <w:t>Template transboundary tourism operational tools</w:t>
      </w:r>
    </w:p>
    <w:tbl>
      <w:tblPr>
        <w:tblStyle w:val="TableGrid"/>
        <w:tblW w:w="9180" w:type="dxa"/>
        <w:tblLayout w:type="fixed"/>
        <w:tblLook w:val="04A0" w:firstRow="1" w:lastRow="0" w:firstColumn="1" w:lastColumn="0" w:noHBand="0" w:noVBand="1"/>
      </w:tblPr>
      <w:tblGrid>
        <w:gridCol w:w="6912"/>
        <w:gridCol w:w="2268"/>
      </w:tblGrid>
      <w:tr w:rsidR="00F47607" w:rsidRPr="007250DC" w14:paraId="3C05D429" w14:textId="77777777" w:rsidTr="008325D8">
        <w:tc>
          <w:tcPr>
            <w:tcW w:w="6912" w:type="dxa"/>
          </w:tcPr>
          <w:p w14:paraId="43B31195" w14:textId="77777777" w:rsidR="00F47607" w:rsidRPr="007250DC" w:rsidRDefault="00F47607" w:rsidP="00FE59F6">
            <w:pPr>
              <w:spacing w:before="0" w:after="0" w:line="240" w:lineRule="auto"/>
              <w:rPr>
                <w:rFonts w:ascii="Garamond" w:hAnsi="Garamond"/>
                <w:sz w:val="20"/>
                <w:szCs w:val="20"/>
              </w:rPr>
            </w:pPr>
            <w:r>
              <w:rPr>
                <w:rFonts w:ascii="Garamond" w:hAnsi="Garamond"/>
                <w:sz w:val="20"/>
                <w:szCs w:val="20"/>
              </w:rPr>
              <w:t>Standard Operating Procedure:</w:t>
            </w:r>
          </w:p>
        </w:tc>
        <w:tc>
          <w:tcPr>
            <w:tcW w:w="2268" w:type="dxa"/>
          </w:tcPr>
          <w:p w14:paraId="47B669CE" w14:textId="77777777" w:rsidR="00F47607" w:rsidRPr="007250DC" w:rsidRDefault="00F47607" w:rsidP="00FE59F6">
            <w:pPr>
              <w:spacing w:before="0" w:after="0" w:line="240" w:lineRule="auto"/>
              <w:rPr>
                <w:rFonts w:ascii="Garamond" w:hAnsi="Garamond"/>
                <w:sz w:val="20"/>
                <w:szCs w:val="20"/>
              </w:rPr>
            </w:pPr>
          </w:p>
        </w:tc>
      </w:tr>
      <w:tr w:rsidR="00F47607" w:rsidRPr="007250DC" w14:paraId="4634EE3A" w14:textId="77777777" w:rsidTr="008325D8">
        <w:tc>
          <w:tcPr>
            <w:tcW w:w="6912" w:type="dxa"/>
          </w:tcPr>
          <w:p w14:paraId="46A8F7F2"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temporary borders</w:t>
            </w:r>
          </w:p>
        </w:tc>
        <w:tc>
          <w:tcPr>
            <w:tcW w:w="2268" w:type="dxa"/>
          </w:tcPr>
          <w:p w14:paraId="5B3CCA97"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r w:rsidR="00F47607" w:rsidRPr="007250DC" w14:paraId="4417EA99" w14:textId="77777777" w:rsidTr="008325D8">
        <w:tc>
          <w:tcPr>
            <w:tcW w:w="6912" w:type="dxa"/>
          </w:tcPr>
          <w:p w14:paraId="77A40C12"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revenue sharing from transboundary concessions</w:t>
            </w:r>
          </w:p>
        </w:tc>
        <w:tc>
          <w:tcPr>
            <w:tcW w:w="2268" w:type="dxa"/>
          </w:tcPr>
          <w:p w14:paraId="6B70090B"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r w:rsidR="00F47607" w:rsidRPr="007250DC" w14:paraId="6D5193DD" w14:textId="77777777" w:rsidTr="008325D8">
        <w:tc>
          <w:tcPr>
            <w:tcW w:w="6912" w:type="dxa"/>
          </w:tcPr>
          <w:p w14:paraId="648FD64F"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Trip manifests for transboundary events</w:t>
            </w:r>
          </w:p>
        </w:tc>
        <w:tc>
          <w:tcPr>
            <w:tcW w:w="2268" w:type="dxa"/>
          </w:tcPr>
          <w:p w14:paraId="7D1D6FA9"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bl>
    <w:p w14:paraId="16CCCE45" w14:textId="77777777" w:rsidR="00F47607" w:rsidRDefault="00F47607" w:rsidP="00F50142">
      <w:pPr>
        <w:spacing w:before="0" w:after="0" w:line="240" w:lineRule="auto"/>
        <w:rPr>
          <w:rFonts w:ascii="Garamond" w:hAnsi="Garamond"/>
        </w:rPr>
      </w:pPr>
    </w:p>
    <w:p w14:paraId="4A11DA3F" w14:textId="49B5610D" w:rsidR="00F47607" w:rsidRDefault="00F47607">
      <w:pPr>
        <w:spacing w:before="0" w:after="0" w:line="240" w:lineRule="auto"/>
        <w:jc w:val="left"/>
        <w:rPr>
          <w:rFonts w:ascii="Garamond" w:hAnsi="Garamond"/>
        </w:rPr>
      </w:pPr>
      <w:r>
        <w:rPr>
          <w:rFonts w:ascii="Garamond" w:hAnsi="Garamond"/>
        </w:rPr>
        <w:br w:type="page"/>
      </w:r>
    </w:p>
    <w:p w14:paraId="4E590A9C" w14:textId="77777777" w:rsidR="00F47607" w:rsidRPr="006311F5" w:rsidRDefault="00F47607" w:rsidP="00F50142">
      <w:pPr>
        <w:spacing w:before="0" w:after="0" w:line="240" w:lineRule="auto"/>
        <w:rPr>
          <w:rFonts w:ascii="Garamond" w:hAnsi="Garamond"/>
        </w:rPr>
      </w:pPr>
    </w:p>
    <w:p w14:paraId="2E629158" w14:textId="7B04F739" w:rsidR="00F50142" w:rsidRPr="006311F5" w:rsidRDefault="00BD4A1E" w:rsidP="00F50142">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4" w:name="_Toc269636359"/>
      <w:r>
        <w:rPr>
          <w:rFonts w:ascii="Garamond" w:hAnsi="Garamond"/>
        </w:rPr>
        <w:t>SADC country information</w:t>
      </w:r>
      <w:bookmarkEnd w:id="84"/>
    </w:p>
    <w:p w14:paraId="4C42F643" w14:textId="14E07E75" w:rsidR="00F50142" w:rsidRDefault="00F47607" w:rsidP="00F50142">
      <w:pPr>
        <w:spacing w:line="240" w:lineRule="auto"/>
        <w:rPr>
          <w:rFonts w:ascii="Garamond" w:hAnsi="Garamond"/>
        </w:rPr>
      </w:pPr>
      <w:r>
        <w:rPr>
          <w:rFonts w:ascii="Garamond" w:hAnsi="Garamond"/>
        </w:rPr>
        <w:t>This section contains information regarding the framework c</w:t>
      </w:r>
      <w:r w:rsidR="00FE59F6">
        <w:rPr>
          <w:rFonts w:ascii="Garamond" w:hAnsi="Garamond"/>
        </w:rPr>
        <w:t>onditions for tou</w:t>
      </w:r>
      <w:r>
        <w:rPr>
          <w:rFonts w:ascii="Garamond" w:hAnsi="Garamond"/>
        </w:rPr>
        <w:t>r</w:t>
      </w:r>
      <w:r w:rsidR="00FE59F6">
        <w:rPr>
          <w:rFonts w:ascii="Garamond" w:hAnsi="Garamond"/>
        </w:rPr>
        <w:t>i</w:t>
      </w:r>
      <w:r>
        <w:rPr>
          <w:rFonts w:ascii="Garamond" w:hAnsi="Garamond"/>
        </w:rPr>
        <w:t xml:space="preserve">sm concessions within SADC countries, and also the </w:t>
      </w:r>
      <w:r w:rsidR="005F689B" w:rsidRPr="006311F5">
        <w:rPr>
          <w:rFonts w:ascii="Garamond" w:hAnsi="Garamond"/>
        </w:rPr>
        <w:t>main business regulations and investment incentives</w:t>
      </w:r>
      <w:r w:rsidR="00871DE0">
        <w:rPr>
          <w:rFonts w:ascii="Garamond" w:hAnsi="Garamond"/>
        </w:rPr>
        <w:t>,</w:t>
      </w:r>
      <w:r w:rsidR="005F689B" w:rsidRPr="006311F5">
        <w:rPr>
          <w:rStyle w:val="FootnoteReference"/>
          <w:rFonts w:ascii="Garamond" w:hAnsi="Garamond"/>
        </w:rPr>
        <w:footnoteReference w:id="65"/>
      </w:r>
      <w:r w:rsidR="005F689B" w:rsidRPr="006311F5">
        <w:rPr>
          <w:rFonts w:ascii="Garamond" w:hAnsi="Garamond"/>
        </w:rPr>
        <w:t xml:space="preserve">   </w:t>
      </w:r>
      <w:r w:rsidR="00D77D3D" w:rsidRPr="006311F5">
        <w:rPr>
          <w:rFonts w:ascii="Garamond" w:hAnsi="Garamond"/>
        </w:rPr>
        <w:t>Note that not all of the countries have consistent coverage of info</w:t>
      </w:r>
      <w:r w:rsidR="0093231E">
        <w:rPr>
          <w:rFonts w:ascii="Garamond" w:hAnsi="Garamond"/>
        </w:rPr>
        <w:t>rmation, and gaps are indicated.</w:t>
      </w:r>
    </w:p>
    <w:p w14:paraId="3FEE48EC" w14:textId="77777777" w:rsidR="00F50142" w:rsidRPr="006311F5" w:rsidRDefault="00F50142" w:rsidP="00F50142">
      <w:pPr>
        <w:pStyle w:val="Heading3"/>
        <w:rPr>
          <w:rFonts w:ascii="Garamond" w:hAnsi="Garamond"/>
        </w:rPr>
      </w:pPr>
      <w:bookmarkStart w:id="85" w:name="_Toc269636360"/>
      <w:r w:rsidRPr="006311F5">
        <w:rPr>
          <w:rFonts w:ascii="Garamond" w:hAnsi="Garamond"/>
        </w:rPr>
        <w:t>Angola</w:t>
      </w:r>
      <w:bookmarkEnd w:id="85"/>
    </w:p>
    <w:p w14:paraId="00DCAEF3" w14:textId="77777777" w:rsidR="00022CBA" w:rsidRDefault="00022CBA" w:rsidP="00022CBA">
      <w:pPr>
        <w:spacing w:before="0" w:after="0" w:line="240" w:lineRule="auto"/>
        <w:rPr>
          <w:rFonts w:asciiTheme="majorHAnsi" w:hAnsiTheme="majorHAnsi"/>
          <w:sz w:val="24"/>
          <w:szCs w:val="24"/>
          <w:u w:val="single"/>
        </w:rPr>
      </w:pPr>
    </w:p>
    <w:p w14:paraId="1CD7CC07" w14:textId="3629C83A" w:rsidR="00022CBA" w:rsidRPr="0084476C" w:rsidRDefault="00022CBA" w:rsidP="00022CBA">
      <w:pPr>
        <w:spacing w:before="0" w:after="0" w:line="240" w:lineRule="auto"/>
        <w:rPr>
          <w:rFonts w:ascii="Garamond" w:hAnsi="Garamond"/>
          <w:b/>
        </w:rPr>
      </w:pPr>
      <w:r w:rsidRPr="0084476C">
        <w:rPr>
          <w:rFonts w:ascii="Garamond" w:hAnsi="Garamond"/>
          <w:b/>
        </w:rPr>
        <w:t>Concession information</w:t>
      </w:r>
    </w:p>
    <w:p w14:paraId="2D30460B" w14:textId="77777777" w:rsidR="00022CBA" w:rsidRPr="0084476C" w:rsidRDefault="00022CBA" w:rsidP="00022CBA">
      <w:pPr>
        <w:spacing w:before="0" w:after="0" w:line="240" w:lineRule="auto"/>
        <w:rPr>
          <w:rFonts w:ascii="Garamond" w:hAnsi="Garamond"/>
        </w:rPr>
      </w:pPr>
    </w:p>
    <w:tbl>
      <w:tblPr>
        <w:tblStyle w:val="TableGrid"/>
        <w:tblW w:w="0" w:type="auto"/>
        <w:tblLook w:val="04A0" w:firstRow="1" w:lastRow="0" w:firstColumn="1" w:lastColumn="0" w:noHBand="0" w:noVBand="1"/>
      </w:tblPr>
      <w:tblGrid>
        <w:gridCol w:w="2047"/>
        <w:gridCol w:w="6850"/>
      </w:tblGrid>
      <w:tr w:rsidR="00022CBA" w:rsidRPr="0084476C" w14:paraId="5E6BC13E" w14:textId="77777777" w:rsidTr="00022CBA">
        <w:tc>
          <w:tcPr>
            <w:tcW w:w="2047" w:type="dxa"/>
          </w:tcPr>
          <w:p w14:paraId="1DBAEA1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26B3E52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 information yet</w:t>
            </w:r>
          </w:p>
        </w:tc>
      </w:tr>
      <w:tr w:rsidR="00022CBA" w:rsidRPr="0084476C" w14:paraId="66380554" w14:textId="77777777" w:rsidTr="00022CBA">
        <w:tc>
          <w:tcPr>
            <w:tcW w:w="2047" w:type="dxa"/>
          </w:tcPr>
          <w:p w14:paraId="66E155D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DA61B26"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The Angola Parks and Recreation 5-Year Park and Recreation Master Plan (2013-2017) does not make reference to concessions.</w:t>
            </w:r>
          </w:p>
          <w:p w14:paraId="186C740C"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There is also a Tourism Master Plan 2011-2020. </w:t>
            </w:r>
            <w:r w:rsidRPr="007376A4">
              <w:rPr>
                <w:rFonts w:ascii="Garamond" w:eastAsiaTheme="minorEastAsia" w:hAnsi="Garamond" w:cs="Times"/>
                <w:sz w:val="20"/>
                <w:szCs w:val="20"/>
                <w:highlight w:val="yellow"/>
              </w:rPr>
              <w:t>Not available online.</w:t>
            </w:r>
            <w:r w:rsidRPr="007376A4">
              <w:rPr>
                <w:rFonts w:ascii="Garamond" w:eastAsiaTheme="minorEastAsia" w:hAnsi="Garamond" w:cs="Times"/>
                <w:sz w:val="20"/>
                <w:szCs w:val="20"/>
              </w:rPr>
              <w:t xml:space="preserve"> </w:t>
            </w:r>
          </w:p>
          <w:p w14:paraId="13ACB1ED"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6332821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There is a National Policy on Forestry, Wildlife and Protected Areas (Contour 2012:19). </w:t>
            </w:r>
            <w:r w:rsidRPr="007376A4">
              <w:rPr>
                <w:rFonts w:ascii="Garamond" w:eastAsiaTheme="minorEastAsia" w:hAnsi="Garamond" w:cs="Times"/>
                <w:sz w:val="20"/>
                <w:szCs w:val="20"/>
                <w:highlight w:val="yellow"/>
              </w:rPr>
              <w:t>Not available online.</w:t>
            </w:r>
          </w:p>
          <w:p w14:paraId="23B5F158"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15F884E7"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Act on Ownership, Concession and use of Agricultural Land No. 21 C 92.</w:t>
            </w:r>
          </w:p>
          <w:p w14:paraId="7A0F53C7"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390DEC8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Tourism Hospitality Act, which was brought into effect in 2007. There is also a Tourism Policy, but this policy is currently under review. (Contour 2012:66)</w:t>
            </w:r>
          </w:p>
        </w:tc>
      </w:tr>
      <w:tr w:rsidR="00022CBA" w:rsidRPr="0084476C" w14:paraId="65FDAB80" w14:textId="77777777" w:rsidTr="00022CBA">
        <w:tc>
          <w:tcPr>
            <w:tcW w:w="2047" w:type="dxa"/>
          </w:tcPr>
          <w:p w14:paraId="0E31654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Institutional arrangements for concessioning</w:t>
            </w:r>
          </w:p>
        </w:tc>
        <w:tc>
          <w:tcPr>
            <w:tcW w:w="6850" w:type="dxa"/>
          </w:tcPr>
          <w:p w14:paraId="1805F3C9"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highlight w:val="yellow"/>
              </w:rPr>
            </w:pPr>
            <w:r w:rsidRPr="007376A4">
              <w:rPr>
                <w:rFonts w:ascii="Garamond" w:hAnsi="Garamond" w:cs="Times"/>
                <w:sz w:val="20"/>
                <w:szCs w:val="20"/>
                <w:highlight w:val="yellow"/>
              </w:rPr>
              <w:t>Who is responsible outside PAs?</w:t>
            </w:r>
          </w:p>
          <w:p w14:paraId="37662DF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Who is responsible inside PAs?</w:t>
            </w:r>
          </w:p>
        </w:tc>
      </w:tr>
      <w:tr w:rsidR="00022CBA" w:rsidRPr="0084476C" w14:paraId="39E1379B" w14:textId="77777777" w:rsidTr="00022CBA">
        <w:tc>
          <w:tcPr>
            <w:tcW w:w="2047" w:type="dxa"/>
          </w:tcPr>
          <w:p w14:paraId="4FA940B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2B257A70"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Tender processes are not used. Unsolicited proposals are received, and then negotiations take place. negotiation</w:t>
            </w:r>
          </w:p>
          <w:p w14:paraId="57D6E41E"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69FA2D0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The concessionaire at Luiana Game Reserve in Jamba is inviting investment for the development of 16 two-bed rooms (Deloitte 2008:19) and four hunting concessions have been awarded to a local operator (ibid).</w:t>
            </w:r>
          </w:p>
          <w:p w14:paraId="3D9E9FD1"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0965DDD6"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highlight w:val="yellow"/>
              </w:rPr>
              <w:t>What is progress with these projects?</w:t>
            </w:r>
          </w:p>
          <w:p w14:paraId="23FC041B"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16363D7A"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The Luiana Partial Reserve and the Luiana Protected Public Reserve were granted as concessions to an operator for a period of 25 years from the year 2005. He has the responsibility of conserving natural resources and developing ecotourism. However, safari hunting has been banned since 2005 (Contour 2012:21).</w:t>
            </w:r>
          </w:p>
        </w:tc>
      </w:tr>
      <w:tr w:rsidR="00022CBA" w:rsidRPr="0084476C" w14:paraId="162496DE" w14:textId="77777777" w:rsidTr="00022CBA">
        <w:tc>
          <w:tcPr>
            <w:tcW w:w="2047" w:type="dxa"/>
          </w:tcPr>
          <w:p w14:paraId="101EF75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 and outside PAs</w:t>
            </w:r>
          </w:p>
        </w:tc>
        <w:tc>
          <w:tcPr>
            <w:tcW w:w="6850" w:type="dxa"/>
          </w:tcPr>
          <w:p w14:paraId="0F02DF9B"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None identified</w:t>
            </w:r>
            <w:r w:rsidRPr="007376A4">
              <w:rPr>
                <w:rFonts w:ascii="Garamond" w:hAnsi="Garamond" w:cs="Times"/>
                <w:sz w:val="20"/>
                <w:szCs w:val="20"/>
              </w:rPr>
              <w:t xml:space="preserve"> </w:t>
            </w:r>
          </w:p>
          <w:p w14:paraId="7C48F67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Guidance/list of requirements from Ministry of Environment?</w:t>
            </w:r>
          </w:p>
        </w:tc>
      </w:tr>
      <w:tr w:rsidR="00022CBA" w:rsidRPr="0084476C" w14:paraId="1AAE85A0" w14:textId="77777777" w:rsidTr="00022CBA">
        <w:tc>
          <w:tcPr>
            <w:tcW w:w="2047" w:type="dxa"/>
          </w:tcPr>
          <w:p w14:paraId="14BC6F8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1C0F86A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 tourism concession manuals identified</w:t>
            </w:r>
          </w:p>
        </w:tc>
      </w:tr>
      <w:tr w:rsidR="00022CBA" w:rsidRPr="0084476C" w14:paraId="7D2DD0DC" w14:textId="77777777" w:rsidTr="00022CBA">
        <w:tc>
          <w:tcPr>
            <w:tcW w:w="2047" w:type="dxa"/>
          </w:tcPr>
          <w:p w14:paraId="3448F86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6E6D9659"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TBA</w:t>
            </w:r>
          </w:p>
        </w:tc>
      </w:tr>
      <w:tr w:rsidR="00022CBA" w:rsidRPr="0084476C" w14:paraId="69FCC3FD" w14:textId="77777777" w:rsidTr="00022CBA">
        <w:tc>
          <w:tcPr>
            <w:tcW w:w="2047" w:type="dxa"/>
          </w:tcPr>
          <w:p w14:paraId="61B283E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187C0C9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The investment strategy for tourism concession is to encourage the privatization of three hotels (not within Pas).  (ANIP 2013:9)</w:t>
            </w:r>
          </w:p>
        </w:tc>
      </w:tr>
    </w:tbl>
    <w:p w14:paraId="3E7A9CC3" w14:textId="77777777" w:rsidR="00022CBA" w:rsidRPr="0084476C" w:rsidRDefault="00022CBA" w:rsidP="00022CBA">
      <w:pPr>
        <w:spacing w:before="0" w:after="0" w:line="240" w:lineRule="auto"/>
        <w:rPr>
          <w:rFonts w:ascii="Garamond" w:eastAsiaTheme="minorEastAsia" w:hAnsi="Garamond"/>
        </w:rPr>
      </w:pPr>
    </w:p>
    <w:p w14:paraId="20F7C2C3" w14:textId="7BF33082" w:rsidR="00022CBA" w:rsidRPr="007376A4" w:rsidRDefault="00022CBA" w:rsidP="00022CBA">
      <w:pPr>
        <w:spacing w:before="0" w:after="0" w:line="240" w:lineRule="auto"/>
        <w:rPr>
          <w:rFonts w:ascii="Garamond" w:eastAsiaTheme="minorEastAsia" w:hAnsi="Garamond"/>
          <w:b/>
        </w:rPr>
      </w:pPr>
      <w:r w:rsidRPr="007376A4">
        <w:rPr>
          <w:rFonts w:ascii="Garamond" w:eastAsiaTheme="minorEastAsia" w:hAnsi="Garamond"/>
          <w:b/>
        </w:rPr>
        <w:t>Investment information</w:t>
      </w:r>
    </w:p>
    <w:p w14:paraId="3B98EA75" w14:textId="77777777" w:rsidR="00022CBA" w:rsidRPr="0084476C" w:rsidRDefault="00022CBA" w:rsidP="00022CBA">
      <w:pPr>
        <w:spacing w:before="0" w:after="0" w:line="240" w:lineRule="auto"/>
        <w:rPr>
          <w:rFonts w:ascii="Garamond" w:eastAsiaTheme="minorEastAsia" w:hAnsi="Garamond"/>
        </w:rPr>
      </w:pPr>
    </w:p>
    <w:tbl>
      <w:tblPr>
        <w:tblStyle w:val="TableGrid"/>
        <w:tblW w:w="0" w:type="auto"/>
        <w:tblLook w:val="04A0" w:firstRow="1" w:lastRow="0" w:firstColumn="1" w:lastColumn="0" w:noHBand="0" w:noVBand="1"/>
      </w:tblPr>
      <w:tblGrid>
        <w:gridCol w:w="2093"/>
        <w:gridCol w:w="6763"/>
      </w:tblGrid>
      <w:tr w:rsidR="00022CBA" w:rsidRPr="0084476C" w14:paraId="353E247E" w14:textId="77777777" w:rsidTr="00022CBA">
        <w:tc>
          <w:tcPr>
            <w:tcW w:w="2093" w:type="dxa"/>
          </w:tcPr>
          <w:p w14:paraId="5BF7845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419DAF3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9588DA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Currently, the main international airport is 4 de Fevereiro Airport in Luanda. A new international airport in Luanda, located in Bom Jesus, Viana, 40 km south-east of Luanda's city centre, is under construction and will have the capacity to handle some 15 million passengers per year. The project includes the construction of a rail link to Luanda.</w:t>
            </w:r>
          </w:p>
        </w:tc>
      </w:tr>
      <w:tr w:rsidR="00022CBA" w:rsidRPr="0084476C" w14:paraId="29B3D418" w14:textId="77777777" w:rsidTr="00022CBA">
        <w:tc>
          <w:tcPr>
            <w:tcW w:w="2093" w:type="dxa"/>
          </w:tcPr>
          <w:p w14:paraId="2C0AC8C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National carrier</w:t>
            </w:r>
          </w:p>
        </w:tc>
        <w:tc>
          <w:tcPr>
            <w:tcW w:w="6763" w:type="dxa"/>
          </w:tcPr>
          <w:p w14:paraId="34C5F77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TAAG (Linhas Aéreas de Angola) is the national carrier, operating direct flights to numerous African destinations, Beijing, Dubai, Paris, London, Brussels, Frankfort, Lisbon and Sao Paulo.</w:t>
            </w:r>
          </w:p>
        </w:tc>
      </w:tr>
      <w:tr w:rsidR="00022CBA" w:rsidRPr="0084476C" w14:paraId="5131ACDE" w14:textId="77777777" w:rsidTr="00022CBA">
        <w:tc>
          <w:tcPr>
            <w:tcW w:w="2093" w:type="dxa"/>
          </w:tcPr>
          <w:p w14:paraId="72DC6F3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0DA36A4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The internal transport infrastructure has improved considerably over the last few years with new paved road networks linking major towns to Luanda. There is a competitive car rental industry and a good bus service operating on the main routes. TAAG operates a comprehensive schedule of internal flights to key cities.</w:t>
            </w:r>
          </w:p>
        </w:tc>
      </w:tr>
      <w:tr w:rsidR="00022CBA" w:rsidRPr="0084476C" w14:paraId="720B1CF1" w14:textId="77777777" w:rsidTr="00022CBA">
        <w:tc>
          <w:tcPr>
            <w:tcW w:w="2093" w:type="dxa"/>
          </w:tcPr>
          <w:p w14:paraId="79C19085"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11D2304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7931E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Telecommunications in Angola is primarily via mobile telephone. There are two mobile operators active in the country: Portugal Telecom's Unitel, and the state-owned Angola Telecom. Internet access is provided by a number of operators.</w:t>
            </w:r>
          </w:p>
        </w:tc>
      </w:tr>
      <w:tr w:rsidR="00022CBA" w:rsidRPr="0084476C" w14:paraId="510D9126" w14:textId="77777777" w:rsidTr="00022CBA">
        <w:tc>
          <w:tcPr>
            <w:tcW w:w="2093" w:type="dxa"/>
          </w:tcPr>
          <w:p w14:paraId="2F623F9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672D547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35%</w:t>
            </w:r>
          </w:p>
        </w:tc>
      </w:tr>
      <w:tr w:rsidR="00022CBA" w:rsidRPr="0084476C" w14:paraId="7F3CE519" w14:textId="77777777" w:rsidTr="00022CBA">
        <w:tc>
          <w:tcPr>
            <w:tcW w:w="2093" w:type="dxa"/>
          </w:tcPr>
          <w:p w14:paraId="108642B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p w14:paraId="09B9124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1BFF44C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The rates of the dividends to be transferred are negotiated on a case by case base and must be part of the investment articles of incorporation. The repatriation of dividends depends on:</w:t>
            </w:r>
          </w:p>
          <w:p w14:paraId="2AFE39F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Investment amount. </w:t>
            </w:r>
          </w:p>
          <w:p w14:paraId="7603ABD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Period of investment concession. </w:t>
            </w:r>
          </w:p>
          <w:p w14:paraId="05E4973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Fiscal and Custom incentive rate percentages.</w:t>
            </w:r>
          </w:p>
          <w:p w14:paraId="2D8A35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Duration of investment. </w:t>
            </w:r>
          </w:p>
          <w:p w14:paraId="2A2241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Socio-economic impact of the investment in reducing poverty.</w:t>
            </w:r>
          </w:p>
        </w:tc>
      </w:tr>
      <w:tr w:rsidR="00022CBA" w:rsidRPr="0084476C" w14:paraId="2D845676" w14:textId="77777777" w:rsidTr="00022CBA">
        <w:tc>
          <w:tcPr>
            <w:tcW w:w="2093" w:type="dxa"/>
          </w:tcPr>
          <w:p w14:paraId="5E2DFCF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254DBC5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Incentives are available for the following:</w:t>
            </w:r>
          </w:p>
          <w:p w14:paraId="323F02B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Enhancing the capacity of national productivity. </w:t>
            </w:r>
          </w:p>
          <w:p w14:paraId="3657E74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Encouraging partnerships between national and foreign investors. </w:t>
            </w:r>
          </w:p>
          <w:p w14:paraId="655106A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Transfer of technology and improvements in productivity.</w:t>
            </w:r>
          </w:p>
          <w:p w14:paraId="70792FC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Job creation.</w:t>
            </w:r>
          </w:p>
          <w:p w14:paraId="742AA97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Increasing exports and decreasing imports to improve foreign currency reserves. </w:t>
            </w:r>
          </w:p>
          <w:p w14:paraId="23B4928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Supplying the local market with goods and services under competitive conditions. </w:t>
            </w:r>
          </w:p>
          <w:p w14:paraId="6166EDF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Promoting technological development and local product quality.</w:t>
            </w:r>
          </w:p>
          <w:p w14:paraId="44C4B05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 Promoting the incorporation of local raw materials and value addition in local production. </w:t>
            </w:r>
          </w:p>
          <w:p w14:paraId="48ACF01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Rehabilitation, expansion and modernisation of basic infrastructure.</w:t>
            </w:r>
          </w:p>
        </w:tc>
      </w:tr>
      <w:tr w:rsidR="00022CBA" w:rsidRPr="0084476C" w14:paraId="6B177B66" w14:textId="77777777" w:rsidTr="00022CBA">
        <w:tc>
          <w:tcPr>
            <w:tcW w:w="2093" w:type="dxa"/>
          </w:tcPr>
          <w:p w14:paraId="48F5C31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174AE5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Although not required, partnerships between national and foreign investors are encouraged.</w:t>
            </w:r>
          </w:p>
          <w:p w14:paraId="2F58573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r>
      <w:tr w:rsidR="00022CBA" w:rsidRPr="0084476C" w14:paraId="614432B4" w14:textId="77777777" w:rsidTr="00022CBA">
        <w:tc>
          <w:tcPr>
            <w:tcW w:w="2093" w:type="dxa"/>
          </w:tcPr>
          <w:p w14:paraId="7EE5F9C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57AB4B2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Foreigners are allowed to purchase and own land in Angola.</w:t>
            </w:r>
          </w:p>
          <w:p w14:paraId="616E5874"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r>
      <w:tr w:rsidR="00022CBA" w:rsidRPr="0084476C" w14:paraId="68EE040E" w14:textId="77777777" w:rsidTr="00022CBA">
        <w:tc>
          <w:tcPr>
            <w:tcW w:w="2093" w:type="dxa"/>
          </w:tcPr>
          <w:p w14:paraId="105A18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6B59A3C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Work permits are available for expatriate staff, however, the government encourages the training of Angolan citizens to take over positions once an expatriate work visa expires</w:t>
            </w:r>
          </w:p>
        </w:tc>
      </w:tr>
      <w:tr w:rsidR="00022CBA" w:rsidRPr="0084476C" w14:paraId="75B03B41" w14:textId="77777777" w:rsidTr="00022CBA">
        <w:tc>
          <w:tcPr>
            <w:tcW w:w="2093" w:type="dxa"/>
          </w:tcPr>
          <w:p w14:paraId="0E1E6E6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407ED6D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D04B305"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Investments are guaranteed through the following mechanisms:</w:t>
            </w:r>
          </w:p>
          <w:p w14:paraId="1854BA8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Access to courts and right to defence. </w:t>
            </w:r>
          </w:p>
          <w:p w14:paraId="0583D21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Monetary restitution in event of expropriation. </w:t>
            </w:r>
          </w:p>
          <w:p w14:paraId="2D1F6D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Private investments are not nationalised; if this does occur, the Government ensures investor rights. </w:t>
            </w:r>
          </w:p>
          <w:p w14:paraId="29A7B4D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The law guarantees professionalism, privacy and confidentiality. </w:t>
            </w:r>
          </w:p>
          <w:p w14:paraId="21D14E2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Reciprocal Protection of Investment Agreements based on Bilateral Cooperation Agreements.</w:t>
            </w:r>
          </w:p>
        </w:tc>
      </w:tr>
      <w:tr w:rsidR="00022CBA" w:rsidRPr="0084476C" w14:paraId="2A70FE13" w14:textId="77777777" w:rsidTr="00022CBA">
        <w:tc>
          <w:tcPr>
            <w:tcW w:w="2093" w:type="dxa"/>
          </w:tcPr>
          <w:p w14:paraId="04DE2DF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5A953DC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There are certain key sectors that are restricted to government operation including the ownership of seaports and airports.</w:t>
            </w:r>
          </w:p>
        </w:tc>
      </w:tr>
    </w:tbl>
    <w:p w14:paraId="4BCFEA81" w14:textId="77777777" w:rsidR="00022CBA" w:rsidRPr="0084476C" w:rsidRDefault="00022CBA" w:rsidP="00022CBA">
      <w:pPr>
        <w:spacing w:before="0" w:after="0" w:line="240" w:lineRule="auto"/>
        <w:jc w:val="left"/>
        <w:rPr>
          <w:rFonts w:ascii="Garamond" w:hAnsi="Garamond"/>
        </w:rPr>
      </w:pPr>
      <w:r w:rsidRPr="0084476C">
        <w:rPr>
          <w:rFonts w:ascii="Garamond" w:hAnsi="Garamond"/>
        </w:rPr>
        <w:t>Source: RETOSA 2014, pp8-10</w:t>
      </w:r>
    </w:p>
    <w:p w14:paraId="5D832FA9" w14:textId="77777777" w:rsidR="00F50142" w:rsidRPr="006311F5" w:rsidRDefault="00F50142" w:rsidP="00F50142">
      <w:pPr>
        <w:spacing w:line="240" w:lineRule="auto"/>
        <w:rPr>
          <w:rFonts w:ascii="Garamond" w:hAnsi="Garamond"/>
          <w:sz w:val="24"/>
          <w:szCs w:val="24"/>
        </w:rPr>
      </w:pPr>
    </w:p>
    <w:p w14:paraId="0CC85418" w14:textId="77777777" w:rsidR="00F50142" w:rsidRPr="006311F5" w:rsidRDefault="00F50142" w:rsidP="00F50142">
      <w:pPr>
        <w:pStyle w:val="Heading3"/>
        <w:rPr>
          <w:rFonts w:ascii="Garamond" w:hAnsi="Garamond"/>
        </w:rPr>
      </w:pPr>
      <w:bookmarkStart w:id="86" w:name="_Toc269636361"/>
      <w:r w:rsidRPr="006311F5">
        <w:rPr>
          <w:rFonts w:ascii="Garamond" w:hAnsi="Garamond"/>
        </w:rPr>
        <w:t>Botswana</w:t>
      </w:r>
      <w:bookmarkEnd w:id="86"/>
    </w:p>
    <w:p w14:paraId="413D93C6" w14:textId="5A5FCD76" w:rsidR="00022CBA" w:rsidRPr="0084476C" w:rsidRDefault="00022CBA" w:rsidP="00022CBA">
      <w:pPr>
        <w:rPr>
          <w:rFonts w:ascii="Garamond" w:eastAsiaTheme="minorEastAsia" w:hAnsi="Garamond"/>
          <w:b/>
        </w:rPr>
      </w:pPr>
      <w:r w:rsidRPr="0084476C">
        <w:rPr>
          <w:rFonts w:ascii="Garamond" w:hAnsi="Garamond"/>
          <w:b/>
        </w:rPr>
        <w:t>Concessions information</w:t>
      </w:r>
    </w:p>
    <w:tbl>
      <w:tblPr>
        <w:tblStyle w:val="TableGrid"/>
        <w:tblW w:w="0" w:type="auto"/>
        <w:tblLook w:val="04A0" w:firstRow="1" w:lastRow="0" w:firstColumn="1" w:lastColumn="0" w:noHBand="0" w:noVBand="1"/>
      </w:tblPr>
      <w:tblGrid>
        <w:gridCol w:w="2047"/>
        <w:gridCol w:w="6850"/>
      </w:tblGrid>
      <w:tr w:rsidR="00022CBA" w:rsidRPr="0084476C" w14:paraId="660781D1" w14:textId="77777777" w:rsidTr="00022CBA">
        <w:tc>
          <w:tcPr>
            <w:tcW w:w="2047" w:type="dxa"/>
          </w:tcPr>
          <w:p w14:paraId="725AECE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18305A78" w14:textId="77777777" w:rsidR="00A43C4B"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Tourism Policy, 1990</w:t>
            </w:r>
          </w:p>
          <w:p w14:paraId="1C8DB855" w14:textId="120B6CB0"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 xml:space="preserve">Botswana Tourism Act, 1992 </w:t>
            </w:r>
          </w:p>
          <w:p w14:paraId="03E563DB"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National Licensing Act, 1992</w:t>
            </w:r>
          </w:p>
          <w:p w14:paraId="12348D45"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Botswana Tourism Regulations, 1996, 2010</w:t>
            </w:r>
          </w:p>
          <w:p w14:paraId="051C5933"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lastRenderedPageBreak/>
              <w:t>National Ecotourism Strategy, 2002</w:t>
            </w:r>
          </w:p>
          <w:p w14:paraId="2B96B7CB"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Draft Reviewed National Tourism Policy, 2008</w:t>
            </w:r>
          </w:p>
          <w:p w14:paraId="5015BE69" w14:textId="77777777" w:rsidR="00022CBA" w:rsidRPr="007376A4" w:rsidRDefault="00022CBA" w:rsidP="00A43C4B">
            <w:pPr>
              <w:widowControl w:val="0"/>
              <w:autoSpaceDE w:val="0"/>
              <w:autoSpaceDN w:val="0"/>
              <w:adjustRightInd w:val="0"/>
              <w:spacing w:before="0" w:after="0" w:line="240" w:lineRule="auto"/>
              <w:jc w:val="left"/>
              <w:rPr>
                <w:rFonts w:ascii="Garamond" w:hAnsi="Garamond" w:cs="CenturyGothic,BoldItalic"/>
                <w:bCs/>
                <w:iCs/>
                <w:sz w:val="20"/>
                <w:szCs w:val="20"/>
              </w:rPr>
            </w:pPr>
            <w:r w:rsidRPr="007376A4">
              <w:rPr>
                <w:rFonts w:ascii="Garamond" w:hAnsi="Garamond" w:cs="CenturyGothic,BoldItalic"/>
                <w:bCs/>
                <w:iCs/>
                <w:sz w:val="20"/>
                <w:szCs w:val="20"/>
              </w:rPr>
              <w:t>Tourism Master Plan (2000)</w:t>
            </w:r>
          </w:p>
          <w:p w14:paraId="6D36AFE9" w14:textId="77777777" w:rsidR="00022CBA" w:rsidRPr="007376A4" w:rsidRDefault="00022CBA" w:rsidP="00A43C4B">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cs="CenturyGothic"/>
                <w:sz w:val="20"/>
                <w:szCs w:val="20"/>
              </w:rPr>
              <w:t>Okavango Delta Management Plan (ODMP), 2007</w:t>
            </w:r>
          </w:p>
        </w:tc>
      </w:tr>
      <w:tr w:rsidR="00022CBA" w:rsidRPr="0084476C" w14:paraId="4F00F27D" w14:textId="77777777" w:rsidTr="00022CBA">
        <w:tc>
          <w:tcPr>
            <w:tcW w:w="2047" w:type="dxa"/>
          </w:tcPr>
          <w:p w14:paraId="490C18A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Concession models used</w:t>
            </w:r>
          </w:p>
        </w:tc>
        <w:tc>
          <w:tcPr>
            <w:tcW w:w="6850" w:type="dxa"/>
          </w:tcPr>
          <w:p w14:paraId="701A7D75"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(e.g. management contracts; leases; concessions (Build operate transfer; rehabilitate operate transfer etc)</w:t>
            </w:r>
          </w:p>
          <w:p w14:paraId="4F576D1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434BD396" w14:textId="77777777" w:rsidR="00A43C4B" w:rsidRPr="007376A4" w:rsidRDefault="00A43C4B" w:rsidP="00022CBA">
            <w:pPr>
              <w:widowControl w:val="0"/>
              <w:autoSpaceDE w:val="0"/>
              <w:autoSpaceDN w:val="0"/>
              <w:adjustRightInd w:val="0"/>
              <w:spacing w:before="0" w:after="0" w:line="240" w:lineRule="auto"/>
              <w:rPr>
                <w:rFonts w:ascii="Garamond" w:hAnsi="Garamond" w:cs="Times"/>
                <w:sz w:val="20"/>
                <w:szCs w:val="20"/>
              </w:rPr>
            </w:pPr>
          </w:p>
        </w:tc>
      </w:tr>
      <w:tr w:rsidR="00022CBA" w:rsidRPr="0084476C" w14:paraId="436E9469" w14:textId="77777777" w:rsidTr="00022CBA">
        <w:tc>
          <w:tcPr>
            <w:tcW w:w="2047" w:type="dxa"/>
          </w:tcPr>
          <w:p w14:paraId="72638CC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6801C4B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highlight w:val="yellow"/>
              </w:rPr>
              <w:t>(e.g. Tender process/auction/direct negotiations)</w:t>
            </w:r>
          </w:p>
          <w:p w14:paraId="701DD483" w14:textId="77777777" w:rsidR="00A43C4B" w:rsidRPr="007376A4" w:rsidRDefault="00A43C4B"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84476C" w14:paraId="344BCB6A" w14:textId="77777777" w:rsidTr="00022CBA">
        <w:tc>
          <w:tcPr>
            <w:tcW w:w="2047" w:type="dxa"/>
          </w:tcPr>
          <w:p w14:paraId="04404C8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31C38180"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(any exist?)</w:t>
            </w:r>
          </w:p>
        </w:tc>
      </w:tr>
      <w:tr w:rsidR="00022CBA" w:rsidRPr="0084476C" w14:paraId="4C654824" w14:textId="77777777" w:rsidTr="00022CBA">
        <w:tc>
          <w:tcPr>
            <w:tcW w:w="2047" w:type="dxa"/>
          </w:tcPr>
          <w:p w14:paraId="5AC7790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317ABB0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(any exist?)</w:t>
            </w:r>
          </w:p>
        </w:tc>
      </w:tr>
      <w:tr w:rsidR="00022CBA" w:rsidRPr="0084476C" w14:paraId="11BA684D" w14:textId="77777777" w:rsidTr="00022CBA">
        <w:tc>
          <w:tcPr>
            <w:tcW w:w="2047" w:type="dxa"/>
          </w:tcPr>
          <w:p w14:paraId="648D760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21F6BCE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(i.e. for scaling up to other SADC countries)</w:t>
            </w:r>
          </w:p>
        </w:tc>
      </w:tr>
      <w:tr w:rsidR="00022CBA" w:rsidRPr="0084476C" w14:paraId="0B439BAB" w14:textId="77777777" w:rsidTr="00022CBA">
        <w:tc>
          <w:tcPr>
            <w:tcW w:w="2047" w:type="dxa"/>
          </w:tcPr>
          <w:p w14:paraId="37401F2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31F7D217"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(for guidelines)</w:t>
            </w:r>
          </w:p>
        </w:tc>
      </w:tr>
    </w:tbl>
    <w:p w14:paraId="7C4ECD32" w14:textId="770D7574" w:rsidR="00F50142" w:rsidRPr="0084476C" w:rsidRDefault="00022CBA" w:rsidP="00022CBA">
      <w:pPr>
        <w:rPr>
          <w:rFonts w:ascii="Garamond" w:eastAsiaTheme="minorEastAsia" w:hAnsi="Garamond"/>
          <w:b/>
        </w:rPr>
      </w:pPr>
      <w:r w:rsidRPr="0084476C">
        <w:rPr>
          <w:rFonts w:ascii="Garamond" w:eastAsiaTheme="minorEastAsia" w:hAnsi="Garamond"/>
          <w:b/>
        </w:rPr>
        <w:t>Investor information</w:t>
      </w:r>
    </w:p>
    <w:tbl>
      <w:tblPr>
        <w:tblStyle w:val="TableGrid"/>
        <w:tblW w:w="0" w:type="auto"/>
        <w:tblLook w:val="04A0" w:firstRow="1" w:lastRow="0" w:firstColumn="1" w:lastColumn="0" w:noHBand="0" w:noVBand="1"/>
      </w:tblPr>
      <w:tblGrid>
        <w:gridCol w:w="2093"/>
        <w:gridCol w:w="6763"/>
      </w:tblGrid>
      <w:tr w:rsidR="00F50142" w:rsidRPr="0084476C" w14:paraId="2C180155" w14:textId="77777777" w:rsidTr="00F50142">
        <w:tc>
          <w:tcPr>
            <w:tcW w:w="2093" w:type="dxa"/>
          </w:tcPr>
          <w:p w14:paraId="33B862A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43AD944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1E7268"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Sir Seretse Khama International in Gaborone, Maun International Airport, Francistown International Airport and Kasane International Airport.</w:t>
            </w:r>
          </w:p>
        </w:tc>
      </w:tr>
      <w:tr w:rsidR="00F50142" w:rsidRPr="0084476C" w14:paraId="68FA290F" w14:textId="77777777" w:rsidTr="00F50142">
        <w:tc>
          <w:tcPr>
            <w:tcW w:w="2093" w:type="dxa"/>
          </w:tcPr>
          <w:p w14:paraId="2FF7F5F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56A3E7A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Air Botswana.</w:t>
            </w:r>
          </w:p>
        </w:tc>
      </w:tr>
      <w:tr w:rsidR="00F50142" w:rsidRPr="0084476C" w14:paraId="37EF8D8B" w14:textId="77777777" w:rsidTr="00F50142">
        <w:tc>
          <w:tcPr>
            <w:tcW w:w="2093" w:type="dxa"/>
          </w:tcPr>
          <w:p w14:paraId="6006244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66AA8CFC"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All Botswana's population centres are connected by good tar roads. The national carrier flies daily scheduled flights to Francistown, Kasane and Maun. The country is well-connected to international destinations via the frequent flights between Sir Seretse Khama International and OR Tambo International in Johannesburg, Jomo Kenyata International Airport as well as regional destinations such as Lusaka in Zambia.</w:t>
            </w:r>
          </w:p>
        </w:tc>
      </w:tr>
      <w:tr w:rsidR="00F50142" w:rsidRPr="0084476C" w14:paraId="41954B99" w14:textId="77777777" w:rsidTr="00F50142">
        <w:tc>
          <w:tcPr>
            <w:tcW w:w="2093" w:type="dxa"/>
          </w:tcPr>
          <w:p w14:paraId="7C15D9D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6D53373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C79393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Botswana has tourism and hospitality training institutions which equip employees with the necessary skills to operate in the tourism industry. Government levies a tourism industry training levy of P10 per person per night which is allocated for development of skills in the sector.</w:t>
            </w:r>
          </w:p>
        </w:tc>
      </w:tr>
      <w:tr w:rsidR="00F50142" w:rsidRPr="0084476C" w14:paraId="539162C8" w14:textId="77777777" w:rsidTr="00F50142">
        <w:tc>
          <w:tcPr>
            <w:tcW w:w="2093" w:type="dxa"/>
          </w:tcPr>
          <w:p w14:paraId="17820B2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72F246C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For resident companies, the corporate income tax rate is 22%. If the 7.5% withholding tax on dividends is taken into account, the effective rate is 27.85%.</w:t>
            </w:r>
          </w:p>
        </w:tc>
      </w:tr>
      <w:tr w:rsidR="00F50142" w:rsidRPr="0084476C" w14:paraId="3805AE18" w14:textId="77777777" w:rsidTr="00F50142">
        <w:tc>
          <w:tcPr>
            <w:tcW w:w="2093" w:type="dxa"/>
          </w:tcPr>
          <w:p w14:paraId="0B87787D"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6726011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are no exchange controls in Botswana and capital and dividends can be freely repatriated by investors.</w:t>
            </w:r>
          </w:p>
        </w:tc>
      </w:tr>
      <w:tr w:rsidR="00F50142" w:rsidRPr="0084476C" w14:paraId="3AA47B9C" w14:textId="77777777" w:rsidTr="00F50142">
        <w:tc>
          <w:tcPr>
            <w:tcW w:w="2093" w:type="dxa"/>
          </w:tcPr>
          <w:p w14:paraId="4CF4B28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6271966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
        </w:tc>
      </w:tr>
      <w:tr w:rsidR="00F50142" w:rsidRPr="0084476C" w14:paraId="44F7C7F3" w14:textId="77777777" w:rsidTr="00F50142">
        <w:tc>
          <w:tcPr>
            <w:tcW w:w="2093" w:type="dxa"/>
          </w:tcPr>
          <w:p w14:paraId="5326E95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16D35886"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Foreign investors are encouraged to form joint ventures with local companies but this is not a legal requirement.</w:t>
            </w:r>
          </w:p>
        </w:tc>
      </w:tr>
      <w:tr w:rsidR="00F50142" w:rsidRPr="0084476C" w14:paraId="551BD18B" w14:textId="77777777" w:rsidTr="00F50142">
        <w:tc>
          <w:tcPr>
            <w:tcW w:w="2093" w:type="dxa"/>
          </w:tcPr>
          <w:p w14:paraId="70BE82C0"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57AAF8E8"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are three land tenure systems in Botswana which include: State land, Freehold and Tribal land under various jurisdictions. State land and Tribal land are leased to tourism businesses and individuals for 15 years with the option to renew the lease for a further period of 15 years subject to compliance.</w:t>
            </w:r>
          </w:p>
        </w:tc>
      </w:tr>
      <w:tr w:rsidR="00F50142" w:rsidRPr="0084476C" w14:paraId="6CA7AC6A" w14:textId="77777777" w:rsidTr="00F50142">
        <w:tc>
          <w:tcPr>
            <w:tcW w:w="2093" w:type="dxa"/>
          </w:tcPr>
          <w:p w14:paraId="2742A59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42D7D23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Work permits for expatriate staff depend on the availability of local labour with the requisite skills together with the establishment of suitable training programmes to localise all positions.</w:t>
            </w:r>
          </w:p>
        </w:tc>
      </w:tr>
      <w:tr w:rsidR="00F50142" w:rsidRPr="0084476C" w14:paraId="279C3291" w14:textId="77777777" w:rsidTr="00F50142">
        <w:tc>
          <w:tcPr>
            <w:tcW w:w="2093" w:type="dxa"/>
          </w:tcPr>
          <w:p w14:paraId="778E600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2C07FB8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94999C0"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Botswana is a signatory to the World Bank's Multilateral Investment Guarantee Agency (MIGA). Botswana has also signed a bilateral investment treaty with the Overseas Private Investment Corporation (OPIC), which provides guarantees for US private investors.</w:t>
            </w:r>
          </w:p>
        </w:tc>
      </w:tr>
      <w:tr w:rsidR="00F50142" w:rsidRPr="0084476C" w14:paraId="38B8C513" w14:textId="77777777" w:rsidTr="00F50142">
        <w:tc>
          <w:tcPr>
            <w:tcW w:w="2093" w:type="dxa"/>
          </w:tcPr>
          <w:p w14:paraId="2E4CBA0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5089276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are certain business activities which are reserved solely for citizens. These include bed and breakfast facilities, guesthouses, mokoro, transfers and mobile operations.</w:t>
            </w:r>
          </w:p>
        </w:tc>
      </w:tr>
    </w:tbl>
    <w:p w14:paraId="236D4804" w14:textId="77777777" w:rsidR="00F50142" w:rsidRPr="0084476C" w:rsidRDefault="00F50142" w:rsidP="00F50142">
      <w:pPr>
        <w:spacing w:before="0" w:after="0" w:line="240" w:lineRule="auto"/>
        <w:jc w:val="left"/>
        <w:rPr>
          <w:rFonts w:ascii="Garamond" w:hAnsi="Garamond"/>
        </w:rPr>
      </w:pPr>
      <w:r w:rsidRPr="0084476C">
        <w:rPr>
          <w:rFonts w:ascii="Garamond" w:hAnsi="Garamond"/>
        </w:rPr>
        <w:t>Source: RETOSA 2014, pp14-16</w:t>
      </w:r>
    </w:p>
    <w:p w14:paraId="32707A53" w14:textId="77777777" w:rsidR="00F50142" w:rsidRPr="006311F5" w:rsidRDefault="00F50142" w:rsidP="00F50142">
      <w:pPr>
        <w:spacing w:line="240" w:lineRule="auto"/>
        <w:rPr>
          <w:rFonts w:ascii="Garamond" w:hAnsi="Garamond"/>
          <w:sz w:val="24"/>
          <w:szCs w:val="24"/>
        </w:rPr>
      </w:pPr>
    </w:p>
    <w:p w14:paraId="201196D3" w14:textId="77777777" w:rsidR="00F50142" w:rsidRPr="006311F5" w:rsidRDefault="00F50142" w:rsidP="00F50142">
      <w:pPr>
        <w:pStyle w:val="Heading3"/>
        <w:rPr>
          <w:rFonts w:ascii="Garamond" w:hAnsi="Garamond"/>
        </w:rPr>
      </w:pPr>
      <w:bookmarkStart w:id="87" w:name="_Toc269636362"/>
      <w:r w:rsidRPr="006311F5">
        <w:rPr>
          <w:rFonts w:ascii="Garamond" w:hAnsi="Garamond"/>
        </w:rPr>
        <w:lastRenderedPageBreak/>
        <w:t>Democratic republic of congo</w:t>
      </w:r>
      <w:bookmarkEnd w:id="87"/>
    </w:p>
    <w:p w14:paraId="391B16ED" w14:textId="74ACBCCC" w:rsidR="00022CBA" w:rsidRPr="00C57FCC" w:rsidRDefault="00022CBA" w:rsidP="00022CBA">
      <w:pPr>
        <w:rPr>
          <w:rFonts w:ascii="Garamond" w:eastAsiaTheme="minorEastAsia" w:hAnsi="Garamond"/>
          <w:b/>
        </w:rPr>
      </w:pPr>
      <w:r w:rsidRPr="00C57FCC">
        <w:rPr>
          <w:rFonts w:ascii="Garamond" w:eastAsiaTheme="minorEastAsia" w:hAnsi="Garamond"/>
          <w:b/>
        </w:rPr>
        <w:t xml:space="preserve">Concession information </w:t>
      </w:r>
    </w:p>
    <w:tbl>
      <w:tblPr>
        <w:tblStyle w:val="TableGrid"/>
        <w:tblW w:w="0" w:type="auto"/>
        <w:tblLook w:val="04A0" w:firstRow="1" w:lastRow="0" w:firstColumn="1" w:lastColumn="0" w:noHBand="0" w:noVBand="1"/>
      </w:tblPr>
      <w:tblGrid>
        <w:gridCol w:w="2047"/>
        <w:gridCol w:w="6850"/>
      </w:tblGrid>
      <w:tr w:rsidR="00022CBA" w:rsidRPr="00C57FCC" w14:paraId="6EADC10E" w14:textId="77777777" w:rsidTr="00022CBA">
        <w:tc>
          <w:tcPr>
            <w:tcW w:w="2047" w:type="dxa"/>
          </w:tcPr>
          <w:p w14:paraId="7502150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BEEAC93"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AFD (2013) Democratic Republic of Congo 2013-2017 Country Strategy Paper. PPPs are mentioned but not in the context of tourism or protected areas.</w:t>
            </w:r>
          </w:p>
          <w:p w14:paraId="3E5F723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IMF (2013:65) Democratic Republic of Congo Growth and Poverty Reduction Strategy Paper – GPRSP 2 mentions improving and implementing the regulatory framework and rehabilitating existing tourism sites.</w:t>
            </w:r>
          </w:p>
        </w:tc>
      </w:tr>
      <w:tr w:rsidR="00C57FCC" w:rsidRPr="00C57FCC" w14:paraId="507CA729" w14:textId="77777777" w:rsidTr="001E1063">
        <w:tc>
          <w:tcPr>
            <w:tcW w:w="2047" w:type="dxa"/>
          </w:tcPr>
          <w:p w14:paraId="4D984DCF" w14:textId="77777777" w:rsidR="00C57FCC" w:rsidRPr="007376A4" w:rsidRDefault="00C57FCC" w:rsidP="001E1063">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66EDEBD1" w14:textId="77777777" w:rsidR="00C57FCC" w:rsidRPr="007376A4" w:rsidRDefault="00C57FCC" w:rsidP="001E1063">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44B0FF94" w14:textId="77777777" w:rsidTr="00022CBA">
        <w:tc>
          <w:tcPr>
            <w:tcW w:w="2047" w:type="dxa"/>
          </w:tcPr>
          <w:p w14:paraId="1AD439D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5ABAA0A0"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cs="Times"/>
                <w:sz w:val="20"/>
                <w:szCs w:val="20"/>
                <w:highlight w:val="yellow"/>
              </w:rPr>
              <w:t>?</w:t>
            </w:r>
          </w:p>
        </w:tc>
      </w:tr>
      <w:tr w:rsidR="00022CBA" w:rsidRPr="00C57FCC" w14:paraId="140486DB" w14:textId="77777777" w:rsidTr="00022CBA">
        <w:tc>
          <w:tcPr>
            <w:tcW w:w="2047" w:type="dxa"/>
          </w:tcPr>
          <w:p w14:paraId="5549A85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05CC91D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4036E34F" w14:textId="77777777" w:rsidTr="00022CBA">
        <w:tc>
          <w:tcPr>
            <w:tcW w:w="2047" w:type="dxa"/>
          </w:tcPr>
          <w:p w14:paraId="0CB6428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4723B72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7351E9F8" w14:textId="77777777" w:rsidTr="00022CBA">
        <w:tc>
          <w:tcPr>
            <w:tcW w:w="2047" w:type="dxa"/>
          </w:tcPr>
          <w:p w14:paraId="14BB1CC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694ABD6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2FEF453C" w14:textId="77777777" w:rsidTr="00022CBA">
        <w:tc>
          <w:tcPr>
            <w:tcW w:w="2047" w:type="dxa"/>
          </w:tcPr>
          <w:p w14:paraId="2889B41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45CEF73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bl>
    <w:p w14:paraId="5DD3D9DE" w14:textId="093FEE7C" w:rsidR="00F50142" w:rsidRPr="00C57FCC" w:rsidRDefault="00022CBA" w:rsidP="00F50142">
      <w:pPr>
        <w:widowControl w:val="0"/>
        <w:autoSpaceDE w:val="0"/>
        <w:autoSpaceDN w:val="0"/>
        <w:adjustRightInd w:val="0"/>
        <w:spacing w:after="240"/>
        <w:rPr>
          <w:rFonts w:ascii="Garamond" w:hAnsi="Garamond" w:cs="Times"/>
          <w:b/>
        </w:rPr>
      </w:pPr>
      <w:r w:rsidRPr="00C57FCC">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F50142" w:rsidRPr="00C57FCC" w14:paraId="62A7D964" w14:textId="77777777" w:rsidTr="00F50142">
        <w:tc>
          <w:tcPr>
            <w:tcW w:w="2093" w:type="dxa"/>
          </w:tcPr>
          <w:p w14:paraId="4F2C199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69DDCE9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D4BDE9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are 3 international airports in the DRC: Kinshasa, Lubumbashi and Kisangani. There are 13 international airlines servicing these cities including Turkish Airlines, South African Airways, Air France, Brussels Airline, Ethiopian Airlines and Royal Air Maroc</w:t>
            </w:r>
          </w:p>
        </w:tc>
      </w:tr>
      <w:tr w:rsidR="00F50142" w:rsidRPr="00C57FCC" w14:paraId="618232E5" w14:textId="77777777" w:rsidTr="00F50142">
        <w:tc>
          <w:tcPr>
            <w:tcW w:w="2093" w:type="dxa"/>
          </w:tcPr>
          <w:p w14:paraId="5C4BBF8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61003F1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n/a</w:t>
            </w:r>
          </w:p>
        </w:tc>
      </w:tr>
      <w:tr w:rsidR="00F50142" w:rsidRPr="00C57FCC" w14:paraId="0FFE165E" w14:textId="77777777" w:rsidTr="00F50142">
        <w:tc>
          <w:tcPr>
            <w:tcW w:w="2093" w:type="dxa"/>
          </w:tcPr>
          <w:p w14:paraId="5AE76297"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9BE2E2B"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Transport by road outside the main centres remains difficult. A local airline, Air Korongo, offers daily flights between Kinshasa, Lubumbashi and Mbuji-Mayi.</w:t>
            </w:r>
          </w:p>
        </w:tc>
      </w:tr>
      <w:tr w:rsidR="00F50142" w:rsidRPr="00C57FCC" w14:paraId="1AED5277" w14:textId="77777777" w:rsidTr="00F50142">
        <w:tc>
          <w:tcPr>
            <w:tcW w:w="2093" w:type="dxa"/>
          </w:tcPr>
          <w:p w14:paraId="21ACD99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7F24F7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841AF42"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Telecommunications is via mobile networks and there are 6 mobile network operators in the country namely Airtel, Congo Chine Telecom (Orange), Africell, SuperCell, Tigo and Vodacom. The slow development of the DRC's national and international telecommunications infrastructure has held back the development of internet and broadband. However, in 2013 the country was connected to the West Africa Cable System (WACS) submarine fibre optic cable which provides low-cost, high-quality international bandwidth.</w:t>
            </w:r>
          </w:p>
        </w:tc>
      </w:tr>
      <w:tr w:rsidR="00F50142" w:rsidRPr="00C57FCC" w14:paraId="74C4FC24" w14:textId="77777777" w:rsidTr="00F50142">
        <w:tc>
          <w:tcPr>
            <w:tcW w:w="2093" w:type="dxa"/>
          </w:tcPr>
          <w:p w14:paraId="1D8170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09CF679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40%</w:t>
            </w:r>
          </w:p>
        </w:tc>
      </w:tr>
      <w:tr w:rsidR="00F50142" w:rsidRPr="00C57FCC" w14:paraId="3B0A1FED" w14:textId="77777777" w:rsidTr="00F50142">
        <w:tc>
          <w:tcPr>
            <w:tcW w:w="2093" w:type="dxa"/>
          </w:tcPr>
          <w:p w14:paraId="4409E27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4A41028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Profits and dividends are freely remitted abroad</w:t>
            </w:r>
          </w:p>
        </w:tc>
      </w:tr>
      <w:tr w:rsidR="00F50142" w:rsidRPr="00C57FCC" w14:paraId="04AAEC32" w14:textId="77777777" w:rsidTr="00F50142">
        <w:tc>
          <w:tcPr>
            <w:tcW w:w="2093" w:type="dxa"/>
          </w:tcPr>
          <w:p w14:paraId="0E7793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1C6BFFA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Customs benefits:</w:t>
            </w:r>
          </w:p>
          <w:p w14:paraId="763A4C8D"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Exemption from customs and tax duties on turnover on imports of equipment, materials, tools and new spare parts related to investments.</w:t>
            </w:r>
          </w:p>
          <w:p w14:paraId="3597BC9A"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p>
          <w:p w14:paraId="192B31B2"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Fiscal and para-fiscal benefits include exemption from:</w:t>
            </w:r>
          </w:p>
          <w:p w14:paraId="291E33A9"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Profit taxes. </w:t>
            </w:r>
          </w:p>
          <w:p w14:paraId="06B0A481"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Turnover taxes on local procurement of work on a property, provisions of services and local purchase of equipment and production materials. </w:t>
            </w:r>
          </w:p>
          <w:p w14:paraId="41A38EA1"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Land tax on developed and non-developed areas. </w:t>
            </w:r>
          </w:p>
          <w:p w14:paraId="3AA37EF2"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Ad valorem duty on establishment of a Limited Liability company or the increase in share capital. </w:t>
            </w:r>
          </w:p>
          <w:p w14:paraId="2D49D631"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Fixed fees on the establishment of companies</w:t>
            </w:r>
          </w:p>
        </w:tc>
      </w:tr>
      <w:tr w:rsidR="00F50142" w:rsidRPr="00C57FCC" w14:paraId="1531A07B" w14:textId="77777777" w:rsidTr="00F50142">
        <w:tc>
          <w:tcPr>
            <w:tcW w:w="2093" w:type="dxa"/>
          </w:tcPr>
          <w:p w14:paraId="2C33FE33"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61ABC1A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is no legal requirement for a local partner but local partnerships are encouraged.</w:t>
            </w:r>
          </w:p>
        </w:tc>
      </w:tr>
      <w:tr w:rsidR="00F50142" w:rsidRPr="00C57FCC" w14:paraId="15B32829" w14:textId="77777777" w:rsidTr="00F50142">
        <w:tc>
          <w:tcPr>
            <w:tcW w:w="2093" w:type="dxa"/>
          </w:tcPr>
          <w:p w14:paraId="2BE63C9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3AB03A23"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Land tenure is organised through the Land Code under which natural or legal persons can obtain the right of possession to land by means of a concession contract. Foreign entities are granted ordinary concessions which take the form of land lease, building lease, usufruct, right of common or rental.</w:t>
            </w:r>
          </w:p>
        </w:tc>
      </w:tr>
      <w:tr w:rsidR="00F50142" w:rsidRPr="00C57FCC" w14:paraId="0D6BF9E3" w14:textId="77777777" w:rsidTr="00F50142">
        <w:tc>
          <w:tcPr>
            <w:tcW w:w="2093" w:type="dxa"/>
          </w:tcPr>
          <w:p w14:paraId="15185F6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Availability of work permits for expatriate staff</w:t>
            </w:r>
          </w:p>
        </w:tc>
        <w:tc>
          <w:tcPr>
            <w:tcW w:w="6763" w:type="dxa"/>
          </w:tcPr>
          <w:p w14:paraId="63108FD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Labour Law encourages the employment of Congolese citizens. A Ministerial Decree dated October 2005 fixes the maximum authorised percentage of foreign labour per sector and per category of worker. An exemption on these rates may be granted by the Minister of Employment by means of a decree. The exemption will only be granted on a motivation from the National Commission of the Employment of Foreigners that ensures that the exemption does not exceed 50% of the legally authorised maximum and that the number of foreign workers never exceeds 15% of the total. In addition, certain jobs are reserved solely for Congolese citizens.</w:t>
            </w:r>
          </w:p>
        </w:tc>
      </w:tr>
      <w:tr w:rsidR="00F50142" w:rsidRPr="00C57FCC" w14:paraId="0ECEF685" w14:textId="77777777" w:rsidTr="00F50142">
        <w:tc>
          <w:tcPr>
            <w:tcW w:w="2093" w:type="dxa"/>
          </w:tcPr>
          <w:p w14:paraId="025E42D3"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7536457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3E138B2C"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government guarantees against nationalisation and expropriation. The DRC is a member of the World Bank's Multilateral Investment Guarantee Agency (MIGA) and of the African Trade Insurance Agency (ATI).</w:t>
            </w:r>
          </w:p>
        </w:tc>
      </w:tr>
      <w:tr w:rsidR="00F50142" w:rsidRPr="00C57FCC" w14:paraId="28ED9722" w14:textId="77777777" w:rsidTr="00F50142">
        <w:tc>
          <w:tcPr>
            <w:tcW w:w="2093" w:type="dxa"/>
          </w:tcPr>
          <w:p w14:paraId="34D4167F"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476FD93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Certain sectors are restricted for Government or Congolese nationals. Tourism, tourism facilities and other hospitality activities are eligible for investment.</w:t>
            </w:r>
          </w:p>
        </w:tc>
      </w:tr>
    </w:tbl>
    <w:p w14:paraId="3DCBC001" w14:textId="77777777" w:rsidR="00F50142" w:rsidRPr="00C57FCC" w:rsidRDefault="00F50142" w:rsidP="00F50142">
      <w:pPr>
        <w:spacing w:before="0" w:after="0" w:line="240" w:lineRule="auto"/>
        <w:jc w:val="left"/>
        <w:rPr>
          <w:rFonts w:ascii="Garamond" w:hAnsi="Garamond"/>
        </w:rPr>
      </w:pPr>
      <w:r w:rsidRPr="00C57FCC">
        <w:rPr>
          <w:rFonts w:ascii="Garamond" w:hAnsi="Garamond"/>
        </w:rPr>
        <w:t>Source: RETOSA 2014, pp20-21</w:t>
      </w:r>
    </w:p>
    <w:p w14:paraId="4C91B93C" w14:textId="77777777" w:rsidR="00F50142" w:rsidRPr="006311F5" w:rsidRDefault="00F50142" w:rsidP="00F50142">
      <w:pPr>
        <w:spacing w:line="240" w:lineRule="auto"/>
        <w:rPr>
          <w:rFonts w:ascii="Garamond" w:hAnsi="Garamond"/>
          <w:sz w:val="24"/>
          <w:szCs w:val="24"/>
        </w:rPr>
      </w:pPr>
    </w:p>
    <w:p w14:paraId="0D7C0898" w14:textId="5D639736" w:rsidR="00F50142" w:rsidRPr="006311F5" w:rsidRDefault="00F0557E" w:rsidP="00F50142">
      <w:pPr>
        <w:pStyle w:val="Heading3"/>
        <w:rPr>
          <w:rFonts w:ascii="Garamond" w:hAnsi="Garamond"/>
        </w:rPr>
      </w:pPr>
      <w:bookmarkStart w:id="88" w:name="_Toc269636363"/>
      <w:r w:rsidRPr="006311F5">
        <w:rPr>
          <w:rFonts w:ascii="Garamond" w:hAnsi="Garamond"/>
        </w:rPr>
        <w:t>Lesotho</w:t>
      </w:r>
      <w:bookmarkEnd w:id="88"/>
    </w:p>
    <w:p w14:paraId="2785ACA6" w14:textId="0D44E6F5" w:rsidR="00022CBA" w:rsidRPr="00C57FCC" w:rsidRDefault="00022CBA" w:rsidP="00022CBA">
      <w:pPr>
        <w:rPr>
          <w:rFonts w:ascii="Garamond" w:eastAsiaTheme="minorEastAsia" w:hAnsi="Garamond"/>
          <w:b/>
        </w:rPr>
      </w:pPr>
      <w:r w:rsidRPr="00C57FCC">
        <w:rPr>
          <w:rFonts w:ascii="Garamond" w:hAnsi="Garamond"/>
          <w:b/>
        </w:rPr>
        <w:t>Concessions information</w:t>
      </w:r>
    </w:p>
    <w:tbl>
      <w:tblPr>
        <w:tblStyle w:val="TableGrid"/>
        <w:tblW w:w="0" w:type="auto"/>
        <w:tblLook w:val="04A0" w:firstRow="1" w:lastRow="0" w:firstColumn="1" w:lastColumn="0" w:noHBand="0" w:noVBand="1"/>
      </w:tblPr>
      <w:tblGrid>
        <w:gridCol w:w="2047"/>
        <w:gridCol w:w="6850"/>
      </w:tblGrid>
      <w:tr w:rsidR="00022CBA" w:rsidRPr="00C57FCC" w14:paraId="03842B98" w14:textId="77777777" w:rsidTr="00AB5B1C">
        <w:tc>
          <w:tcPr>
            <w:tcW w:w="2047" w:type="dxa"/>
          </w:tcPr>
          <w:p w14:paraId="4E3D1AD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193CAA3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sz w:val="20"/>
                <w:szCs w:val="20"/>
              </w:rPr>
            </w:pPr>
            <w:r w:rsidRPr="007376A4">
              <w:rPr>
                <w:rFonts w:ascii="Garamond" w:hAnsi="Garamond"/>
                <w:sz w:val="20"/>
                <w:szCs w:val="20"/>
              </w:rPr>
              <w:t>(e.g. policy, laws, regulations)</w:t>
            </w:r>
          </w:p>
          <w:p w14:paraId="4759D0B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Vision 2020 document </w:t>
            </w:r>
            <w:r w:rsidRPr="007376A4">
              <w:rPr>
                <w:rFonts w:ascii="Garamond" w:eastAsiaTheme="minorEastAsia" w:hAnsi="Garamond" w:cs="Times"/>
                <w:sz w:val="20"/>
                <w:szCs w:val="20"/>
                <w:highlight w:val="yellow"/>
              </w:rPr>
              <w:t>makes no reference to tourism concessions.</w:t>
            </w:r>
          </w:p>
          <w:p w14:paraId="5BA9288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C57FCC" w14:paraId="76E08B7D" w14:textId="77777777" w:rsidTr="00AB5B1C">
        <w:tc>
          <w:tcPr>
            <w:tcW w:w="2047" w:type="dxa"/>
          </w:tcPr>
          <w:p w14:paraId="00891F5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278329A3"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(e.g. management contracts; leases; concessions (Build operate transfer; rehabilitate operate transfer etc)</w:t>
            </w:r>
          </w:p>
          <w:p w14:paraId="6DE1296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6BB13BF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Lesotho encourages private operators to enter into concession agreements for existing facilities under specific terms and conditions for each concession. (Deloitte 2008:46) The Government is committed to supporting public-private partnerships and particularly encourages concession proposals that incorporate local communities. (Deloitte 2008:47)</w:t>
            </w:r>
          </w:p>
          <w:p w14:paraId="0955DEE1"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3E540C1F"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The tourism authorities will follow a very open system for identifying potential partners and in granting concessions. The authorities have already identified a number of potential areas or sites and existing facilities that are suitable to develop into tourist concession opportunities. These will be openly advertised.</w:t>
            </w:r>
          </w:p>
          <w:p w14:paraId="3961C572"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Initial contact should be with the LTDC, which is responsible for promoting Lesotho as a location for sustainable and profitable tourism projects. It will be able to identify useful contacts and provide support and resources to assist investors and concessionaires in locating potential opportunities in Lesotho. (Deloitte 2008:47)</w:t>
            </w:r>
          </w:p>
        </w:tc>
      </w:tr>
      <w:tr w:rsidR="00022CBA" w:rsidRPr="00C57FCC" w14:paraId="186EC98C" w14:textId="77777777" w:rsidTr="00AB5B1C">
        <w:tc>
          <w:tcPr>
            <w:tcW w:w="2047" w:type="dxa"/>
          </w:tcPr>
          <w:p w14:paraId="1F543BE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7D8A4881"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(e.g. Tender process/auction/direct negotiations)</w:t>
            </w:r>
          </w:p>
          <w:p w14:paraId="3D0C834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24155C4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Lesotho does not have a freehold system of ownership, but rather a leasehold system regulating the rights pertaining to the occupation of land. This means that land in the Kingdom of Lesotho is leased instead of being owned by individuals or corporations. Although only citizens of Lesotho may hold land and acquire the rights to occupy the land in terms of Land Act leases, this does not imply that foreigners to Lesotho may not occupy and develop such land. Lesotho citizens may sublet their rights to land to anyone and such sub-lessees are not precluded from developing, mortgaging or even further subletting the land components. (Deloitte 2008:52)</w:t>
            </w:r>
          </w:p>
          <w:p w14:paraId="628160E3"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C57FCC" w14:paraId="44501F99" w14:textId="77777777" w:rsidTr="00AB5B1C">
        <w:tc>
          <w:tcPr>
            <w:tcW w:w="2047" w:type="dxa"/>
          </w:tcPr>
          <w:p w14:paraId="6D36B49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66BB99B7"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exist?)</w:t>
            </w:r>
          </w:p>
          <w:p w14:paraId="4604E19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Tourism Investment Guide Toolkit (undated) Lesotho Tourism Development Cooperation</w:t>
            </w:r>
          </w:p>
        </w:tc>
      </w:tr>
      <w:tr w:rsidR="00022CBA" w:rsidRPr="00C57FCC" w14:paraId="66352C0F" w14:textId="77777777" w:rsidTr="00AB5B1C">
        <w:tc>
          <w:tcPr>
            <w:tcW w:w="2047" w:type="dxa"/>
          </w:tcPr>
          <w:p w14:paraId="50D9091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313DE53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exist?)</w:t>
            </w:r>
          </w:p>
          <w:p w14:paraId="2E9005A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Deloitte (2008:52) refers to a Draft Tourism Concession Manual </w:t>
            </w:r>
            <w:r w:rsidRPr="007376A4">
              <w:rPr>
                <w:rFonts w:ascii="Garamond" w:hAnsi="Garamond" w:cs="Times"/>
                <w:sz w:val="20"/>
                <w:szCs w:val="20"/>
                <w:highlight w:val="cyan"/>
              </w:rPr>
              <w:t>but is not available online.</w:t>
            </w:r>
          </w:p>
        </w:tc>
      </w:tr>
      <w:tr w:rsidR="00022CBA" w:rsidRPr="00C57FCC" w14:paraId="30DB33A7" w14:textId="77777777" w:rsidTr="00AB5B1C">
        <w:tc>
          <w:tcPr>
            <w:tcW w:w="2047" w:type="dxa"/>
          </w:tcPr>
          <w:p w14:paraId="20E8203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042936A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(i.e. for scaling up to other SADC countries)</w:t>
            </w:r>
          </w:p>
          <w:p w14:paraId="3C234A03"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There are a number of concession offered within Sehlabathebe National Park and Maloti Drakensburg TFCA – </w:t>
            </w:r>
            <w:r w:rsidRPr="007376A4">
              <w:rPr>
                <w:rFonts w:ascii="Garamond" w:hAnsi="Garamond" w:cs="Times"/>
                <w:sz w:val="20"/>
                <w:szCs w:val="20"/>
                <w:highlight w:val="yellow"/>
              </w:rPr>
              <w:t>which ones are in progress?</w:t>
            </w:r>
          </w:p>
        </w:tc>
      </w:tr>
      <w:tr w:rsidR="00022CBA" w:rsidRPr="00C57FCC" w14:paraId="2D10D306" w14:textId="77777777" w:rsidTr="00AB5B1C">
        <w:tc>
          <w:tcPr>
            <w:tcW w:w="2047" w:type="dxa"/>
          </w:tcPr>
          <w:p w14:paraId="645949F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50782AD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(for guidelines)</w:t>
            </w:r>
          </w:p>
        </w:tc>
      </w:tr>
    </w:tbl>
    <w:p w14:paraId="6A6261DE" w14:textId="797C613F" w:rsidR="00F50142" w:rsidRPr="001E1063" w:rsidRDefault="00022CBA" w:rsidP="00F50142">
      <w:pPr>
        <w:widowControl w:val="0"/>
        <w:autoSpaceDE w:val="0"/>
        <w:autoSpaceDN w:val="0"/>
        <w:adjustRightInd w:val="0"/>
        <w:spacing w:after="240"/>
        <w:rPr>
          <w:rFonts w:ascii="Garamond" w:hAnsi="Garamond" w:cs="Times"/>
          <w:b/>
        </w:rPr>
      </w:pPr>
      <w:r w:rsidRPr="001E1063">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F50142" w:rsidRPr="00C57FCC" w14:paraId="45832BD3" w14:textId="77777777" w:rsidTr="00F50142">
        <w:tc>
          <w:tcPr>
            <w:tcW w:w="2093" w:type="dxa"/>
          </w:tcPr>
          <w:p w14:paraId="5FB8E7D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53A2C6D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6B33EF6" w14:textId="03952D14" w:rsidR="00F50142" w:rsidRPr="007376A4" w:rsidRDefault="00F0557E"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Maseru International Airport </w:t>
            </w:r>
            <w:r w:rsidRPr="007376A4">
              <w:rPr>
                <w:rFonts w:ascii="Garamond" w:hAnsi="Garamond" w:cs="Times"/>
                <w:sz w:val="20"/>
                <w:szCs w:val="20"/>
                <w:highlight w:val="yellow"/>
              </w:rPr>
              <w:t>XXXX</w:t>
            </w:r>
            <w:r w:rsidR="00F540A0" w:rsidRPr="007376A4">
              <w:rPr>
                <w:rFonts w:ascii="Garamond" w:hAnsi="Garamond" w:cs="Times"/>
                <w:sz w:val="20"/>
                <w:szCs w:val="20"/>
              </w:rPr>
              <w:t xml:space="preserve">. </w:t>
            </w:r>
            <w:r w:rsidR="00F540A0" w:rsidRPr="007376A4">
              <w:rPr>
                <w:rFonts w:ascii="Garamond" w:hAnsi="Garamond" w:cs="Times"/>
                <w:sz w:val="20"/>
                <w:szCs w:val="20"/>
                <w:highlight w:val="yellow"/>
              </w:rPr>
              <w:t>X</w:t>
            </w:r>
            <w:r w:rsidR="00F540A0" w:rsidRPr="007376A4">
              <w:rPr>
                <w:rFonts w:ascii="Garamond" w:hAnsi="Garamond" w:cs="Times"/>
                <w:sz w:val="20"/>
                <w:szCs w:val="20"/>
              </w:rPr>
              <w:t xml:space="preserve"> airlines servicing the airport </w:t>
            </w:r>
            <w:r w:rsidR="00F540A0" w:rsidRPr="007376A4">
              <w:rPr>
                <w:rFonts w:ascii="Garamond" w:hAnsi="Garamond" w:cs="Times"/>
                <w:sz w:val="20"/>
                <w:szCs w:val="20"/>
                <w:highlight w:val="yellow"/>
              </w:rPr>
              <w:t>(list)</w:t>
            </w:r>
          </w:p>
        </w:tc>
      </w:tr>
      <w:tr w:rsidR="00F50142" w:rsidRPr="00C57FCC" w14:paraId="2B152698" w14:textId="77777777" w:rsidTr="00F50142">
        <w:tc>
          <w:tcPr>
            <w:tcW w:w="2093" w:type="dxa"/>
          </w:tcPr>
          <w:p w14:paraId="543509E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11CAC5DB" w14:textId="5E5D7A24" w:rsidR="00F50142" w:rsidRPr="007376A4" w:rsidRDefault="00F0557E"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None</w:t>
            </w:r>
          </w:p>
        </w:tc>
      </w:tr>
      <w:tr w:rsidR="00F50142" w:rsidRPr="00C57FCC" w14:paraId="1EE2D799" w14:textId="77777777" w:rsidTr="00F50142">
        <w:tc>
          <w:tcPr>
            <w:tcW w:w="2093" w:type="dxa"/>
          </w:tcPr>
          <w:p w14:paraId="65766C5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1519EE97" w14:textId="43239C62"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Lesotho has good national roads, most of which are tarred. All the key tourism sites have all-weather roads connecting them to towns and to Maseru.</w:t>
            </w:r>
          </w:p>
        </w:tc>
      </w:tr>
      <w:tr w:rsidR="00F50142" w:rsidRPr="00C57FCC" w14:paraId="193E5926" w14:textId="77777777" w:rsidTr="00F50142">
        <w:tc>
          <w:tcPr>
            <w:tcW w:w="2093" w:type="dxa"/>
          </w:tcPr>
          <w:p w14:paraId="7F75B9A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6260614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6800B4D"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The Lesotho Communications Authority has facilitated wide access to the telecommunication network with hot spots for wi-fi in Maseru and some strategic areas in the country.</w:t>
            </w:r>
          </w:p>
        </w:tc>
      </w:tr>
      <w:tr w:rsidR="00F50142" w:rsidRPr="00C57FCC" w14:paraId="19933F82" w14:textId="77777777" w:rsidTr="00F50142">
        <w:tc>
          <w:tcPr>
            <w:tcW w:w="2093" w:type="dxa"/>
          </w:tcPr>
          <w:p w14:paraId="07EEC7E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6E78564A"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40%</w:t>
            </w:r>
          </w:p>
        </w:tc>
      </w:tr>
      <w:tr w:rsidR="00F50142" w:rsidRPr="00C57FCC" w14:paraId="52154486" w14:textId="77777777" w:rsidTr="00F50142">
        <w:tc>
          <w:tcPr>
            <w:tcW w:w="2093" w:type="dxa"/>
          </w:tcPr>
          <w:p w14:paraId="40F823F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0A895883"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repatriation of profits is conducted through local commercial banks. Lesotho only allows repatriation of profits in terms of dividends paid to the shareholders.</w:t>
            </w:r>
          </w:p>
        </w:tc>
      </w:tr>
      <w:tr w:rsidR="00F50142" w:rsidRPr="00C57FCC" w14:paraId="74B0FE7B" w14:textId="77777777" w:rsidTr="00F50142">
        <w:tc>
          <w:tcPr>
            <w:tcW w:w="2093" w:type="dxa"/>
          </w:tcPr>
          <w:p w14:paraId="14F2A59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3BC774B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•Free repatriation of profits</w:t>
            </w:r>
          </w:p>
          <w:p w14:paraId="6DD44DD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 As a member of the Common Monetary Area (CMA), Lesotho has free convertibility of transactions with Namibia, South Africa and Swaziland. Under an ancillary agreement made with South Africa in 1986, maloti are exchangeable at par with the South African rand and the rand is legal tender in Lesotho. </w:t>
            </w:r>
          </w:p>
          <w:p w14:paraId="04BA2884"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As part of raising Lesotho's overall business competitiveness, tax incentives may be offered to industries that are key or strategic. Profits arising from income and capital gains are taxed at a general rate of 25%. Losses can be carried forward indefinitely</w:t>
            </w:r>
          </w:p>
        </w:tc>
      </w:tr>
      <w:tr w:rsidR="00F50142" w:rsidRPr="00C57FCC" w14:paraId="0A4D8F5F" w14:textId="77777777" w:rsidTr="00F50142">
        <w:tc>
          <w:tcPr>
            <w:tcW w:w="2093" w:type="dxa"/>
          </w:tcPr>
          <w:p w14:paraId="451FAD2B"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6B432774"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Under the Companies Act, all companies to be recognised as local companies must be registered under Lesotho law and local investors can hold up to 49% of company shares.</w:t>
            </w:r>
          </w:p>
        </w:tc>
      </w:tr>
      <w:tr w:rsidR="00F50142" w:rsidRPr="00C57FCC" w14:paraId="753F0792" w14:textId="77777777" w:rsidTr="00F50142">
        <w:tc>
          <w:tcPr>
            <w:tcW w:w="2093" w:type="dxa"/>
          </w:tcPr>
          <w:p w14:paraId="5C81D74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7C2D69C1"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Ownership of land is vested in the State and title is made available in the form of renewable State leases for periods which depend on the use to which the land is put. Maximum lease durations are 90 years (agricultural and residential purposes), 60 years (hotel, industry and commerce) and 30 years (sale or storage of petroleum products). The minimum lease period is 10 years</w:t>
            </w:r>
          </w:p>
        </w:tc>
      </w:tr>
      <w:tr w:rsidR="00F50142" w:rsidRPr="00C57FCC" w14:paraId="393B6996" w14:textId="77777777" w:rsidTr="00F50142">
        <w:tc>
          <w:tcPr>
            <w:tcW w:w="2093" w:type="dxa"/>
          </w:tcPr>
          <w:p w14:paraId="0E1272FD"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74D20CA1"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Government policy is to permit foreign workers only when there is a demonstrated gap in the availability of suitably qualified and experienced citizens. Work permits are issued by the Commissioner of Labour. Work permits are normally offered over a period of two years in the tourism sector. The FDI Company must undertake to ensure transfer of skills over a reasonable period of time to the local counterparts. The FDI company is required to put in place a training and mentorship plan to transfer skills from the Expatriate to a Local counterpart</w:t>
            </w:r>
          </w:p>
        </w:tc>
      </w:tr>
      <w:tr w:rsidR="00F50142" w:rsidRPr="00C57FCC" w14:paraId="542EC788" w14:textId="77777777" w:rsidTr="00F50142">
        <w:tc>
          <w:tcPr>
            <w:tcW w:w="2093" w:type="dxa"/>
          </w:tcPr>
          <w:p w14:paraId="374E64F4"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5583A6B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36A00F5A"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Access to premises:</w:t>
            </w:r>
            <w:r w:rsidRPr="007376A4">
              <w:rPr>
                <w:rFonts w:ascii="Garamond" w:eastAsiaTheme="minorEastAsia" w:hAnsi="Garamond" w:cs="Times"/>
                <w:sz w:val="20"/>
                <w:szCs w:val="20"/>
              </w:rPr>
              <w:t xml:space="preserve"> MTEC through LTDC facilitates access to land and premises for Tourism business development. Currently MTEC owns 7 tourism properties for Conference/Events and accommodation. The Ministry also has 6 key sites at strategic tourist destination areas around Lesotho which are available for large tourism projects. </w:t>
            </w:r>
          </w:p>
          <w:p w14:paraId="3579CB1C"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Access to finance:</w:t>
            </w:r>
            <w:r w:rsidRPr="007376A4">
              <w:rPr>
                <w:rFonts w:ascii="Garamond" w:eastAsiaTheme="minorEastAsia" w:hAnsi="Garamond" w:cs="Times"/>
                <w:sz w:val="20"/>
                <w:szCs w:val="20"/>
              </w:rPr>
              <w:t xml:space="preserve"> The Partial Credit Guarantee Fund is an LSL 50 million facility for commercial bank loans to wholly Basotho-owned projects which are viable, but lack sufficient collateral. The LNDC has set aside a fund of LSL 10 million for 50% loan guarantees available to enterprises with at least 51% national ownership. </w:t>
            </w:r>
          </w:p>
          <w:p w14:paraId="1C71BBBA"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Training:</w:t>
            </w:r>
            <w:r w:rsidRPr="007376A4">
              <w:rPr>
                <w:rFonts w:ascii="Garamond" w:eastAsiaTheme="minorEastAsia" w:hAnsi="Garamond" w:cs="Times"/>
                <w:sz w:val="20"/>
                <w:szCs w:val="20"/>
              </w:rPr>
              <w:t xml:space="preserve"> Many Government agencies offer business skills' training as part of enterprise development schemes. These include both entrepreneurship and workforce skills' development centres (e.g. from BEDCO, MTICM, the Lesotho Revenue Authority and the Ministry of Finance). </w:t>
            </w:r>
          </w:p>
          <w:p w14:paraId="523B9E25"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Government procurement:</w:t>
            </w:r>
            <w:r w:rsidRPr="007376A4">
              <w:rPr>
                <w:rFonts w:ascii="Garamond" w:eastAsiaTheme="minorEastAsia" w:hAnsi="Garamond" w:cs="Times"/>
                <w:sz w:val="20"/>
                <w:szCs w:val="20"/>
              </w:rPr>
              <w:t xml:space="preserve"> Guidelines allow for a 10% price preference on Lesotho goods and services. A further 7.5% preference is offered for contracts where at least half the work is performed in Lesotho or subcontracted to Basotho business. All contracts over LSL 500 000 which entail sub-contracting must sub-contract at least 25% of the work to Basotho business. A Basotho-owned business may also have a second chance to match the price of a winning tender. For the purposes of Government procurement, a Basotho-owned business is one in which Lesotho residents are majority owners and the majority of directors are Lesotho citizens. Under the Quality Star Grading Programme (QUALStar) quality star graded institutions are given the first opportunity to offer tourism services to the government.</w:t>
            </w:r>
          </w:p>
        </w:tc>
      </w:tr>
      <w:tr w:rsidR="00F50142" w:rsidRPr="00C57FCC" w14:paraId="5BE9DA8D" w14:textId="77777777" w:rsidTr="00F50142">
        <w:tc>
          <w:tcPr>
            <w:tcW w:w="2093" w:type="dxa"/>
          </w:tcPr>
          <w:p w14:paraId="21A9A14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039DA1E0"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Businesses Reserved under the Trading Enterprises Regulations 2011</w:t>
            </w:r>
            <w:r w:rsidRPr="007376A4">
              <w:rPr>
                <w:rFonts w:ascii="Garamond" w:eastAsiaTheme="minorEastAsia" w:hAnsi="Garamond" w:cs="Times"/>
                <w:sz w:val="20"/>
                <w:szCs w:val="20"/>
              </w:rPr>
              <w:t xml:space="preserve">: Under these regulations, all trading enterprises must be licensed. A license to trade in reserved activities will only be granted to enterprises which are wholly owned by Lesotho citizens. </w:t>
            </w:r>
          </w:p>
          <w:p w14:paraId="5157C9DE"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An enterprise is considered foreign if</w:t>
            </w:r>
            <w:r w:rsidRPr="007376A4">
              <w:rPr>
                <w:rFonts w:ascii="Garamond" w:eastAsiaTheme="minorEastAsia" w:hAnsi="Garamond" w:cs="Times"/>
                <w:sz w:val="20"/>
                <w:szCs w:val="20"/>
              </w:rPr>
              <w:t xml:space="preserve">: its sole proprietor is a non-citizen; it is a partnership in which any partner is a non-citizen; or a body corporate in which any of the directors or shareholders is a non-citizen. </w:t>
            </w:r>
          </w:p>
          <w:p w14:paraId="2FE82C08"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Land:</w:t>
            </w:r>
            <w:r w:rsidRPr="007376A4">
              <w:rPr>
                <w:rFonts w:ascii="Garamond" w:eastAsiaTheme="minorEastAsia" w:hAnsi="Garamond" w:cs="Times"/>
                <w:sz w:val="20"/>
                <w:szCs w:val="20"/>
              </w:rPr>
              <w:t xml:space="preserve"> All land ownership is vested in the King on behalf of the State, and titles are granted in the form of leases under the Land Act 2010. Lesotho attaches great importance to preserving citizen's access to land. Accordingly, a foreign enterprise will not be granted a leasehold title unless it contains at least 20% local ownership. </w:t>
            </w:r>
          </w:p>
          <w:p w14:paraId="78EDF556"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Environment:</w:t>
            </w:r>
            <w:r w:rsidRPr="007376A4">
              <w:rPr>
                <w:rFonts w:ascii="Garamond" w:eastAsiaTheme="minorEastAsia" w:hAnsi="Garamond" w:cs="Times"/>
                <w:sz w:val="20"/>
                <w:szCs w:val="20"/>
              </w:rPr>
              <w:t xml:space="preserve"> Under the Environment Act 2008, Lesotho has an up-to-date legal framework for environmental protection which requires investors to submit a pre-inception project brief to the Director of Environment.</w:t>
            </w:r>
          </w:p>
        </w:tc>
      </w:tr>
    </w:tbl>
    <w:p w14:paraId="35724C3C" w14:textId="7889C07C" w:rsidR="00F50142" w:rsidRPr="00C57FCC" w:rsidRDefault="00AA310E" w:rsidP="00F50142">
      <w:pPr>
        <w:spacing w:before="0" w:after="0" w:line="240" w:lineRule="auto"/>
        <w:jc w:val="left"/>
        <w:rPr>
          <w:rFonts w:ascii="Garamond" w:hAnsi="Garamond"/>
        </w:rPr>
      </w:pPr>
      <w:r w:rsidRPr="00C57FCC">
        <w:rPr>
          <w:rFonts w:ascii="Garamond" w:hAnsi="Garamond"/>
        </w:rPr>
        <w:t>Source: RETOSA 2014, pp26-28</w:t>
      </w:r>
    </w:p>
    <w:p w14:paraId="20C68CC5" w14:textId="77777777" w:rsidR="00F0557E" w:rsidRPr="006311F5" w:rsidRDefault="00F0557E" w:rsidP="00F0557E">
      <w:pPr>
        <w:spacing w:line="240" w:lineRule="auto"/>
        <w:rPr>
          <w:rFonts w:ascii="Garamond" w:hAnsi="Garamond"/>
          <w:sz w:val="24"/>
          <w:szCs w:val="24"/>
        </w:rPr>
      </w:pPr>
    </w:p>
    <w:p w14:paraId="7C13291F" w14:textId="77777777" w:rsidR="00F0557E" w:rsidRPr="006311F5" w:rsidRDefault="00F0557E" w:rsidP="00F0557E">
      <w:pPr>
        <w:pStyle w:val="Heading3"/>
        <w:rPr>
          <w:rFonts w:ascii="Garamond" w:hAnsi="Garamond"/>
        </w:rPr>
      </w:pPr>
      <w:bookmarkStart w:id="89" w:name="_Toc269636364"/>
      <w:r w:rsidRPr="006311F5">
        <w:rPr>
          <w:rFonts w:ascii="Garamond" w:hAnsi="Garamond"/>
        </w:rPr>
        <w:t>Malawi</w:t>
      </w:r>
      <w:bookmarkEnd w:id="89"/>
    </w:p>
    <w:p w14:paraId="061D7603" w14:textId="25D6BBA7" w:rsidR="00F0557E" w:rsidRPr="002520D4" w:rsidRDefault="00AB5B1C" w:rsidP="00F0557E">
      <w:pPr>
        <w:widowControl w:val="0"/>
        <w:autoSpaceDE w:val="0"/>
        <w:autoSpaceDN w:val="0"/>
        <w:adjustRightInd w:val="0"/>
        <w:spacing w:after="240"/>
        <w:rPr>
          <w:rFonts w:ascii="Garamond" w:hAnsi="Garamond" w:cs="Times"/>
          <w:b/>
        </w:rPr>
      </w:pPr>
      <w:r w:rsidRPr="002520D4">
        <w:rPr>
          <w:rFonts w:ascii="Garamond" w:hAnsi="Garamond" w:cs="Times"/>
          <w:b/>
        </w:rPr>
        <w:t>Concessions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850"/>
      </w:tblGrid>
      <w:tr w:rsidR="00AB5B1C" w:rsidRPr="002520D4" w14:paraId="170943B3" w14:textId="77777777" w:rsidTr="00A22AD6">
        <w:tc>
          <w:tcPr>
            <w:tcW w:w="2047" w:type="dxa"/>
          </w:tcPr>
          <w:p w14:paraId="276A30D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2FE023C3"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hAnsi="Garamond"/>
                <w:sz w:val="20"/>
                <w:szCs w:val="20"/>
              </w:rPr>
              <w:t>(e.g. policy, laws, regulations)</w:t>
            </w:r>
          </w:p>
          <w:p w14:paraId="44C8B526"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p w14:paraId="62DA4D51"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National Tourism Policy (undated) no reference to concessions</w:t>
            </w:r>
          </w:p>
          <w:p w14:paraId="6665447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Public Private Partnership Policy Framework (2011) tourism is identified as one of the priority areas (GoM 2011:3)</w:t>
            </w:r>
          </w:p>
          <w:p w14:paraId="44309678"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Public Private Partnership Commission is the national implementing agency for PPPs (GoM 2011:21)</w:t>
            </w:r>
          </w:p>
        </w:tc>
      </w:tr>
      <w:tr w:rsidR="00AB5B1C" w:rsidRPr="002520D4" w14:paraId="552BBDA6" w14:textId="77777777" w:rsidTr="00A22AD6">
        <w:tc>
          <w:tcPr>
            <w:tcW w:w="2047" w:type="dxa"/>
          </w:tcPr>
          <w:p w14:paraId="5976F627"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43CE24F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(e.g. management contracts; leases; concessions (Build operate transfer; rehabilitate operate transfer etc)</w:t>
            </w:r>
          </w:p>
          <w:p w14:paraId="4CF269D4"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0AD2D46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National Tourism Policy aims to promote joint venture partnerships (PPPS). A PPP project typically requires the establishment of a special purpose vehicle (SPV) by the private Party. The SPV will be a locally incorporated company, hence a legal entity with no other activity other than those in the agreement and connected with the borrowing. (GoM 2011:7)</w:t>
            </w:r>
          </w:p>
        </w:tc>
      </w:tr>
      <w:tr w:rsidR="00AB5B1C" w:rsidRPr="002520D4" w14:paraId="7F1EAAAE" w14:textId="77777777" w:rsidTr="00A22AD6">
        <w:tc>
          <w:tcPr>
            <w:tcW w:w="2047" w:type="dxa"/>
          </w:tcPr>
          <w:p w14:paraId="0A176CAA"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3FB063B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(e.g. Tender process/auction/direct negotiations)</w:t>
            </w:r>
          </w:p>
          <w:p w14:paraId="6CED3E09"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p w14:paraId="6471DD12"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GoM Public Private Partnership Policy Framework (2011) provides the staged concession process:</w:t>
            </w:r>
          </w:p>
          <w:p w14:paraId="7F3AFAD7"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1st step: Project Identification, Needs and Options Analysis:</w:t>
            </w:r>
          </w:p>
          <w:p w14:paraId="14B5FB4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2nd step: Initial Viability Analysis and Pre-feasibility:</w:t>
            </w:r>
          </w:p>
          <w:p w14:paraId="24748484"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3rd step: Feasibility Studies:</w:t>
            </w:r>
          </w:p>
          <w:p w14:paraId="250C939F"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4th step: Procurement Process:</w:t>
            </w:r>
          </w:p>
          <w:p w14:paraId="6E88022A"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5th step: Contract Management:</w:t>
            </w:r>
          </w:p>
          <w:p w14:paraId="72C8096E"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6th Step: Implementation and Appraisal:</w:t>
            </w:r>
          </w:p>
        </w:tc>
      </w:tr>
      <w:tr w:rsidR="00AB5B1C" w:rsidRPr="002520D4" w14:paraId="49526087" w14:textId="77777777" w:rsidTr="00A22AD6">
        <w:tc>
          <w:tcPr>
            <w:tcW w:w="2047" w:type="dxa"/>
          </w:tcPr>
          <w:p w14:paraId="5686E0CD"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0F6B019A"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others?)</w:t>
            </w:r>
          </w:p>
          <w:p w14:paraId="17291E5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1F7E3F62"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Malawi Investment and Trade Centre is a merger of the Malawi Investment Promotion Agency (MIPA) and Malawi Export Promotion Council (MEPC) – provide a list of tourism investment projects (http://www.mitc.mw/index.php?Itemid=616)</w:t>
            </w:r>
          </w:p>
        </w:tc>
      </w:tr>
      <w:tr w:rsidR="00AB5B1C" w:rsidRPr="002520D4" w14:paraId="11249B47" w14:textId="77777777" w:rsidTr="00A22AD6">
        <w:tc>
          <w:tcPr>
            <w:tcW w:w="2047" w:type="dxa"/>
          </w:tcPr>
          <w:p w14:paraId="784DF14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612E59F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others?)</w:t>
            </w:r>
          </w:p>
          <w:p w14:paraId="4A3ED1B8"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3FC679AC"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 Practical Guide to Doing Business in Malawi – Investor’s Guide to Malawi</w:t>
            </w:r>
          </w:p>
          <w:p w14:paraId="3C36824B" w14:textId="77777777" w:rsidR="001E1063" w:rsidRPr="007376A4" w:rsidRDefault="001E1063" w:rsidP="00F12046">
            <w:pPr>
              <w:widowControl w:val="0"/>
              <w:autoSpaceDE w:val="0"/>
              <w:autoSpaceDN w:val="0"/>
              <w:adjustRightInd w:val="0"/>
              <w:spacing w:before="0" w:after="0" w:line="240" w:lineRule="auto"/>
              <w:rPr>
                <w:rFonts w:ascii="Garamond" w:hAnsi="Garamond" w:cs="Times"/>
                <w:sz w:val="20"/>
                <w:szCs w:val="20"/>
              </w:rPr>
            </w:pPr>
          </w:p>
          <w:p w14:paraId="67004A05" w14:textId="12315AAE" w:rsidR="001E1063" w:rsidRPr="007376A4" w:rsidRDefault="001E1063"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Tourism concession guidelines (2001)</w:t>
            </w:r>
          </w:p>
        </w:tc>
      </w:tr>
      <w:tr w:rsidR="00AB5B1C" w:rsidRPr="002520D4" w14:paraId="67C31B72" w14:textId="77777777" w:rsidTr="00A22AD6">
        <w:tc>
          <w:tcPr>
            <w:tcW w:w="2047" w:type="dxa"/>
          </w:tcPr>
          <w:p w14:paraId="4465B721"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0D2F39A5"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(i.e. for scaling up to other SADC countries)</w:t>
            </w:r>
          </w:p>
        </w:tc>
      </w:tr>
      <w:tr w:rsidR="00AB5B1C" w:rsidRPr="002520D4" w14:paraId="7F585CD4" w14:textId="77777777" w:rsidTr="00A22AD6">
        <w:tc>
          <w:tcPr>
            <w:tcW w:w="2047" w:type="dxa"/>
          </w:tcPr>
          <w:p w14:paraId="4300E09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13B41A0F"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(for guidelines)</w:t>
            </w:r>
          </w:p>
        </w:tc>
      </w:tr>
    </w:tbl>
    <w:p w14:paraId="7CDD17E9" w14:textId="2FFA0676" w:rsidR="00AB5B1C" w:rsidRPr="002520D4" w:rsidRDefault="00AB5B1C" w:rsidP="00AB5B1C">
      <w:pPr>
        <w:rPr>
          <w:rFonts w:ascii="Garamond" w:hAnsi="Garamond"/>
          <w:b/>
        </w:rPr>
      </w:pPr>
      <w:r w:rsidRPr="002520D4">
        <w:rPr>
          <w:rFonts w:ascii="Garamond" w:hAnsi="Garamond"/>
          <w:b/>
        </w:rPr>
        <w:t>Investor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763"/>
      </w:tblGrid>
      <w:tr w:rsidR="00AB5B1C" w:rsidRPr="002520D4" w14:paraId="4AA9CB8A" w14:textId="77777777" w:rsidTr="00F12046">
        <w:tc>
          <w:tcPr>
            <w:tcW w:w="2093" w:type="dxa"/>
          </w:tcPr>
          <w:p w14:paraId="48EB462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04EEE711"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C2320AF"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Most international flights land at Kamuzu International. Some of the regional flights from Johannesburg and Harare land directly in Blantyre. Kamuzu International is serviced by a number of African airlines including South African Airways, Ethiopian Airlines and Kenya Airway</w:t>
            </w:r>
          </w:p>
        </w:tc>
      </w:tr>
      <w:tr w:rsidR="00AB5B1C" w:rsidRPr="002520D4" w14:paraId="5E036E09" w14:textId="77777777" w:rsidTr="00F12046">
        <w:tc>
          <w:tcPr>
            <w:tcW w:w="2093" w:type="dxa"/>
          </w:tcPr>
          <w:p w14:paraId="6EF25189"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612EDDE4" w14:textId="730665E4" w:rsidR="00AB5B1C" w:rsidRPr="007376A4" w:rsidRDefault="00AB5B1C" w:rsidP="00A22AD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Malawian Airlines runs r</w:t>
            </w:r>
            <w:r w:rsidR="00A22AD6" w:rsidRPr="007376A4">
              <w:rPr>
                <w:rFonts w:ascii="Garamond" w:eastAsia="ＭＳ 明朝" w:hAnsi="Garamond" w:cs="Times"/>
                <w:sz w:val="20"/>
                <w:szCs w:val="20"/>
              </w:rPr>
              <w:t>egular flights between Blantyre and</w:t>
            </w:r>
            <w:r w:rsidRPr="007376A4">
              <w:rPr>
                <w:rFonts w:ascii="Garamond" w:eastAsia="ＭＳ 明朝" w:hAnsi="Garamond" w:cs="Times"/>
                <w:sz w:val="20"/>
                <w:szCs w:val="20"/>
              </w:rPr>
              <w:t xml:space="preserve"> Lilongwe</w:t>
            </w:r>
            <w:r w:rsidR="00A22AD6" w:rsidRPr="007376A4">
              <w:rPr>
                <w:rFonts w:ascii="Garamond" w:eastAsia="ＭＳ 明朝" w:hAnsi="Garamond" w:cs="Times"/>
                <w:sz w:val="20"/>
                <w:szCs w:val="20"/>
              </w:rPr>
              <w:t>.</w:t>
            </w:r>
          </w:p>
        </w:tc>
      </w:tr>
      <w:tr w:rsidR="00AB5B1C" w:rsidRPr="002520D4" w14:paraId="59A3AF89" w14:textId="77777777" w:rsidTr="00F12046">
        <w:tc>
          <w:tcPr>
            <w:tcW w:w="2093" w:type="dxa"/>
          </w:tcPr>
          <w:p w14:paraId="44A132ED"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72B77E6"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The roads along the main routes are in good condition and self-drive holiday options are available. There is a ferry that runs on Lake Malawi from one end to the other.</w:t>
            </w:r>
          </w:p>
        </w:tc>
      </w:tr>
      <w:tr w:rsidR="00AB5B1C" w:rsidRPr="002520D4" w14:paraId="066A816A" w14:textId="77777777" w:rsidTr="00F12046">
        <w:tc>
          <w:tcPr>
            <w:tcW w:w="2093" w:type="dxa"/>
          </w:tcPr>
          <w:p w14:paraId="7791F3B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353F57E6"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A1BD0D2" w14:textId="51F15B12"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 xml:space="preserve">There are </w:t>
            </w:r>
            <w:r w:rsidR="00A22AD6" w:rsidRPr="007376A4">
              <w:rPr>
                <w:rFonts w:ascii="Garamond" w:eastAsia="ＭＳ 明朝" w:hAnsi="Garamond" w:cs="Times"/>
                <w:sz w:val="20"/>
                <w:szCs w:val="20"/>
              </w:rPr>
              <w:t>three</w:t>
            </w:r>
            <w:r w:rsidRPr="007376A4">
              <w:rPr>
                <w:rFonts w:ascii="Garamond" w:eastAsia="ＭＳ 明朝" w:hAnsi="Garamond" w:cs="Times"/>
                <w:sz w:val="20"/>
                <w:szCs w:val="20"/>
              </w:rPr>
              <w:t xml:space="preserve"> mobile network operators in Malawi - Bharti Airtel and Telecom Networks Malawi (TNM)</w:t>
            </w:r>
            <w:r w:rsidR="00A22AD6" w:rsidRPr="007376A4">
              <w:rPr>
                <w:rFonts w:ascii="Garamond" w:eastAsia="ＭＳ 明朝" w:hAnsi="Garamond" w:cs="Times"/>
                <w:sz w:val="20"/>
                <w:szCs w:val="20"/>
              </w:rPr>
              <w:t>, and Access</w:t>
            </w:r>
            <w:r w:rsidRPr="007376A4">
              <w:rPr>
                <w:rFonts w:ascii="Garamond" w:eastAsia="ＭＳ 明朝" w:hAnsi="Garamond" w:cs="Times"/>
                <w:sz w:val="20"/>
                <w:szCs w:val="20"/>
              </w:rPr>
              <w:t>. The internet sector is competitive with 15 licensed service providers.</w:t>
            </w:r>
          </w:p>
          <w:p w14:paraId="7826DFF4"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tc>
      </w:tr>
      <w:tr w:rsidR="00AB5B1C" w:rsidRPr="002520D4" w14:paraId="77BC36D3" w14:textId="77777777" w:rsidTr="00F12046">
        <w:tc>
          <w:tcPr>
            <w:tcW w:w="2093" w:type="dxa"/>
          </w:tcPr>
          <w:p w14:paraId="3EF3770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1D2A383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Locally incorporated companies are subject to corporate income tax at a rate of 30%. Branches of foreign companies are subject to tax at a rate of 35%.</w:t>
            </w:r>
          </w:p>
        </w:tc>
      </w:tr>
      <w:tr w:rsidR="00AB5B1C" w:rsidRPr="002520D4" w14:paraId="7EDF5EF9" w14:textId="77777777" w:rsidTr="00F12046">
        <w:tc>
          <w:tcPr>
            <w:tcW w:w="2093" w:type="dxa"/>
          </w:tcPr>
          <w:p w14:paraId="0A90457A"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p w14:paraId="5BC6008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60E54F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the repatriation of dividends, profits, and royalties</w:t>
            </w:r>
          </w:p>
        </w:tc>
      </w:tr>
      <w:tr w:rsidR="00AB5B1C" w:rsidRPr="002520D4" w14:paraId="336E62B2" w14:textId="77777777" w:rsidTr="00F12046">
        <w:tc>
          <w:tcPr>
            <w:tcW w:w="2093" w:type="dxa"/>
          </w:tcPr>
          <w:p w14:paraId="5A4B7A54"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1CA0DCBB"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100% investment allowance on qualifying expenditure for new buildings and machinery. </w:t>
            </w:r>
          </w:p>
          <w:p w14:paraId="6240C135"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Allowances of up to 40% for used buildings and machinery. </w:t>
            </w:r>
          </w:p>
          <w:p w14:paraId="6940EED6"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50% allowance for qualifying training costs</w:t>
            </w:r>
          </w:p>
          <w:p w14:paraId="7B1766BF"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 Loss carry forward of up to seven years, enabling companies to take advantage of allowances.</w:t>
            </w:r>
          </w:p>
          <w:p w14:paraId="4BCDB9E0"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 Additional 15% allowance for investment in designated areas of the country. </w:t>
            </w:r>
          </w:p>
          <w:p w14:paraId="2E60B665"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Duty-free direct importation of goods used in the tourism industry, which includes building materials, catering and related equipment, and water sport equipment.</w:t>
            </w:r>
          </w:p>
          <w:p w14:paraId="4F42095F"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 • Duty-free importation of buses with a seating capacity of 45 persons (including the driver) and above.</w:t>
            </w:r>
          </w:p>
        </w:tc>
      </w:tr>
      <w:tr w:rsidR="00AB5B1C" w:rsidRPr="002520D4" w14:paraId="5518083A" w14:textId="77777777" w:rsidTr="00F12046">
        <w:tc>
          <w:tcPr>
            <w:tcW w:w="2093" w:type="dxa"/>
          </w:tcPr>
          <w:p w14:paraId="2CCD10B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520641D2"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ownership.</w:t>
            </w:r>
          </w:p>
        </w:tc>
      </w:tr>
      <w:tr w:rsidR="00AB5B1C" w:rsidRPr="002520D4" w14:paraId="2786A32C" w14:textId="77777777" w:rsidTr="00F12046">
        <w:tc>
          <w:tcPr>
            <w:tcW w:w="2093" w:type="dxa"/>
          </w:tcPr>
          <w:p w14:paraId="16008B57"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2DEE3C28"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In July 2000 the Government stopped issuing freehold tenure on land in anticipation of new land legislation. The new draft legislation has been prepared and approved by Cabinet but remains stalled in the Parliamentary Committee on Lands and Natural Resources. The new legislation abolishes freehold tenure and allows for the conversion of all freehold titles to leasehold for a maximum period of 99 years.</w:t>
            </w:r>
          </w:p>
        </w:tc>
      </w:tr>
      <w:tr w:rsidR="00AB5B1C" w:rsidRPr="002520D4" w14:paraId="05C0A64A" w14:textId="77777777" w:rsidTr="00F12046">
        <w:tc>
          <w:tcPr>
            <w:tcW w:w="2093" w:type="dxa"/>
          </w:tcPr>
          <w:p w14:paraId="732EA440"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5F602036"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 government grants investors the freedom to employ workers and temporary residence permits are readily available for expatriate personnel.</w:t>
            </w:r>
          </w:p>
        </w:tc>
      </w:tr>
      <w:tr w:rsidR="00AB5B1C" w:rsidRPr="002520D4" w14:paraId="60DB02CC" w14:textId="77777777" w:rsidTr="00F12046">
        <w:tc>
          <w:tcPr>
            <w:tcW w:w="2093" w:type="dxa"/>
          </w:tcPr>
          <w:p w14:paraId="4AB82339"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152C205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8E19341"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Malawi's constitution prohibits deprivation of an individual's property without due compensation and there are laws that protect both local and foreign investment. Malawi has a range of bilateral investment agreements that protect investor's assets. Malawi is also a member of the World Bank's Multilateral Investment Guarantee Agency (MIGA).</w:t>
            </w:r>
          </w:p>
        </w:tc>
      </w:tr>
      <w:tr w:rsidR="00AB5B1C" w:rsidRPr="002520D4" w14:paraId="3A24FFA0" w14:textId="77777777" w:rsidTr="00F12046">
        <w:tc>
          <w:tcPr>
            <w:tcW w:w="2093" w:type="dxa"/>
          </w:tcPr>
          <w:p w14:paraId="4D073250"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2821F79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foreign investment.</w:t>
            </w:r>
          </w:p>
        </w:tc>
      </w:tr>
    </w:tbl>
    <w:p w14:paraId="386F82CE" w14:textId="2A94A5C6" w:rsidR="00AB5B1C" w:rsidRPr="002520D4" w:rsidRDefault="00AB5B1C" w:rsidP="00AB5B1C">
      <w:pPr>
        <w:spacing w:before="0" w:after="0" w:line="240" w:lineRule="auto"/>
        <w:jc w:val="left"/>
        <w:rPr>
          <w:rFonts w:ascii="Garamond" w:hAnsi="Garamond"/>
        </w:rPr>
      </w:pPr>
      <w:r w:rsidRPr="002520D4">
        <w:rPr>
          <w:rFonts w:ascii="Garamond" w:hAnsi="Garamond"/>
        </w:rPr>
        <w:t>Source: RETOSA 2014, pp36-37</w:t>
      </w:r>
      <w:r w:rsidR="00A22AD6" w:rsidRPr="002520D4">
        <w:rPr>
          <w:rFonts w:ascii="Garamond" w:hAnsi="Garamond"/>
        </w:rPr>
        <w:t>; Pers. Com. H. Nzima, 2014</w:t>
      </w:r>
    </w:p>
    <w:p w14:paraId="1526BB72" w14:textId="77777777" w:rsidR="00D332FF" w:rsidRPr="002520D4" w:rsidRDefault="00D332FF" w:rsidP="00D332FF">
      <w:pPr>
        <w:spacing w:line="240" w:lineRule="auto"/>
        <w:rPr>
          <w:rFonts w:ascii="Garamond" w:hAnsi="Garamond"/>
        </w:rPr>
      </w:pPr>
    </w:p>
    <w:p w14:paraId="09F1CFCC" w14:textId="77777777" w:rsidR="00D332FF" w:rsidRDefault="00D332FF" w:rsidP="00D332FF">
      <w:pPr>
        <w:pStyle w:val="Heading3"/>
        <w:rPr>
          <w:rFonts w:ascii="Garamond" w:hAnsi="Garamond"/>
        </w:rPr>
      </w:pPr>
      <w:bookmarkStart w:id="90" w:name="_Toc269636365"/>
      <w:r w:rsidRPr="006311F5">
        <w:rPr>
          <w:rFonts w:ascii="Garamond" w:hAnsi="Garamond"/>
        </w:rPr>
        <w:t>Mauritius</w:t>
      </w:r>
      <w:bookmarkEnd w:id="90"/>
    </w:p>
    <w:p w14:paraId="26CE8324" w14:textId="106A625A" w:rsidR="007F14B3" w:rsidRPr="00D011D7" w:rsidRDefault="009F37BC" w:rsidP="007F14B3">
      <w:pPr>
        <w:spacing w:before="0" w:after="0" w:line="240" w:lineRule="auto"/>
        <w:rPr>
          <w:rFonts w:ascii="Garamond" w:hAnsi="Garamond" w:cs="Arial"/>
          <w:b/>
          <w:lang w:val="en-GB"/>
        </w:rPr>
      </w:pPr>
      <w:r>
        <w:br/>
      </w:r>
      <w:r w:rsidR="007F14B3" w:rsidRPr="00D011D7">
        <w:rPr>
          <w:rFonts w:ascii="Garamond" w:hAnsi="Garamond" w:cs="Arial"/>
          <w:b/>
          <w:lang w:val="en-GB"/>
        </w:rPr>
        <w:t>Concession information</w:t>
      </w:r>
    </w:p>
    <w:p w14:paraId="5B89C5BC" w14:textId="77777777" w:rsidR="007F14B3" w:rsidRPr="00D011D7" w:rsidRDefault="007F14B3" w:rsidP="007F14B3">
      <w:pPr>
        <w:spacing w:before="0" w:after="0" w:line="240" w:lineRule="auto"/>
        <w:rPr>
          <w:rFonts w:ascii="Garamond" w:hAnsi="Garamond" w:cs="Arial"/>
          <w:b/>
          <w:u w:val="single"/>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7F14B3" w:rsidRPr="00D011D7" w14:paraId="7A8263AC" w14:textId="77777777" w:rsidTr="009F37BC">
        <w:tc>
          <w:tcPr>
            <w:tcW w:w="2518" w:type="dxa"/>
          </w:tcPr>
          <w:p w14:paraId="4F73917A"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Relevant policies, strategies and legislation</w:t>
            </w:r>
          </w:p>
        </w:tc>
        <w:tc>
          <w:tcPr>
            <w:tcW w:w="6662" w:type="dxa"/>
          </w:tcPr>
          <w:p w14:paraId="2DF45E0E" w14:textId="12C90226" w:rsidR="00346D6C" w:rsidRPr="007376A4" w:rsidRDefault="00346D6C"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The Tourism Authority Act, 2006</w:t>
            </w:r>
          </w:p>
          <w:p w14:paraId="6285B56E" w14:textId="77777777" w:rsidR="007B61D9" w:rsidRPr="007376A4" w:rsidRDefault="005245FB"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Policy for foreign investment in the tourism sector</w:t>
            </w:r>
          </w:p>
          <w:p w14:paraId="498E72D7" w14:textId="77777777" w:rsidR="00A21606" w:rsidRPr="007376A4" w:rsidRDefault="00A21606"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Policy on investment by non-citizens in the tourist accommodation (non-hotel) sector (2011)</w:t>
            </w:r>
          </w:p>
          <w:p w14:paraId="1FA0E51E" w14:textId="24AA5DFE" w:rsidR="00E45652" w:rsidRPr="007376A4" w:rsidRDefault="00E45652"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Invest hotel scheme (2009)</w:t>
            </w:r>
          </w:p>
        </w:tc>
      </w:tr>
      <w:tr w:rsidR="007F14B3" w:rsidRPr="00D011D7" w14:paraId="310DBC2E" w14:textId="77777777" w:rsidTr="009F37BC">
        <w:tc>
          <w:tcPr>
            <w:tcW w:w="2518" w:type="dxa"/>
          </w:tcPr>
          <w:p w14:paraId="7736AB07" w14:textId="493055AC"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Concession models used</w:t>
            </w:r>
          </w:p>
        </w:tc>
        <w:tc>
          <w:tcPr>
            <w:tcW w:w="6662" w:type="dxa"/>
          </w:tcPr>
          <w:p w14:paraId="074C1AF7"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(e.g. management contracts; leases; concessions (Build operate transfer; rehabilitate operate transfer etc)</w:t>
            </w:r>
          </w:p>
          <w:p w14:paraId="36E4A062" w14:textId="77777777" w:rsidR="007F14B3" w:rsidRPr="007376A4" w:rsidRDefault="007F14B3" w:rsidP="007D5EEC">
            <w:pPr>
              <w:widowControl w:val="0"/>
              <w:autoSpaceDE w:val="0"/>
              <w:autoSpaceDN w:val="0"/>
              <w:adjustRightInd w:val="0"/>
              <w:spacing w:before="0" w:after="0" w:line="240" w:lineRule="auto"/>
              <w:rPr>
                <w:rFonts w:ascii="Garamond" w:hAnsi="Garamond" w:cs="Arial"/>
                <w:sz w:val="20"/>
                <w:szCs w:val="20"/>
                <w:lang w:val="en-GB"/>
              </w:rPr>
            </w:pPr>
          </w:p>
          <w:p w14:paraId="7BE99189" w14:textId="4A812EFA" w:rsidR="00E45652" w:rsidRPr="007376A4" w:rsidRDefault="00E45652" w:rsidP="007D5EEC">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Lease</w:t>
            </w:r>
          </w:p>
          <w:p w14:paraId="0AC48ACE" w14:textId="77777777" w:rsidR="00E45652" w:rsidRPr="007376A4" w:rsidRDefault="00E45652" w:rsidP="007D5EEC">
            <w:pPr>
              <w:widowControl w:val="0"/>
              <w:autoSpaceDE w:val="0"/>
              <w:autoSpaceDN w:val="0"/>
              <w:adjustRightInd w:val="0"/>
              <w:spacing w:before="0" w:after="0" w:line="240" w:lineRule="auto"/>
              <w:rPr>
                <w:rFonts w:ascii="Garamond" w:hAnsi="Garamond" w:cs="Arial"/>
                <w:sz w:val="20"/>
                <w:szCs w:val="20"/>
                <w:lang w:val="en-GB"/>
              </w:rPr>
            </w:pPr>
          </w:p>
        </w:tc>
      </w:tr>
      <w:tr w:rsidR="007F14B3" w:rsidRPr="00D011D7" w14:paraId="388D269B" w14:textId="77777777" w:rsidTr="009F37BC">
        <w:tc>
          <w:tcPr>
            <w:tcW w:w="2518" w:type="dxa"/>
          </w:tcPr>
          <w:p w14:paraId="76F90527"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Examples of concession processes</w:t>
            </w:r>
          </w:p>
        </w:tc>
        <w:tc>
          <w:tcPr>
            <w:tcW w:w="6662" w:type="dxa"/>
          </w:tcPr>
          <w:p w14:paraId="4A479E35"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(e.g. Tender process/auction/direct negotiations)</w:t>
            </w:r>
          </w:p>
        </w:tc>
      </w:tr>
      <w:tr w:rsidR="007F14B3" w:rsidRPr="00D011D7" w14:paraId="085614AF" w14:textId="77777777" w:rsidTr="009F37BC">
        <w:tc>
          <w:tcPr>
            <w:tcW w:w="2518" w:type="dxa"/>
          </w:tcPr>
          <w:p w14:paraId="1A0EC980"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Tourism investment guidelines in PAs</w:t>
            </w:r>
          </w:p>
        </w:tc>
        <w:tc>
          <w:tcPr>
            <w:tcW w:w="6662" w:type="dxa"/>
          </w:tcPr>
          <w:p w14:paraId="4454E806"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(any exist?)</w:t>
            </w:r>
          </w:p>
        </w:tc>
      </w:tr>
      <w:tr w:rsidR="007F14B3" w:rsidRPr="00D011D7" w14:paraId="3B9F3DF7" w14:textId="77777777" w:rsidTr="009F37BC">
        <w:tc>
          <w:tcPr>
            <w:tcW w:w="2518" w:type="dxa"/>
          </w:tcPr>
          <w:p w14:paraId="696443A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Concession manuals and tools</w:t>
            </w:r>
          </w:p>
        </w:tc>
        <w:tc>
          <w:tcPr>
            <w:tcW w:w="6662" w:type="dxa"/>
          </w:tcPr>
          <w:p w14:paraId="46837152"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(any exist?)</w:t>
            </w:r>
          </w:p>
        </w:tc>
      </w:tr>
      <w:tr w:rsidR="007F14B3" w:rsidRPr="00D011D7" w14:paraId="4A09BAD6" w14:textId="77777777" w:rsidTr="009F37BC">
        <w:tc>
          <w:tcPr>
            <w:tcW w:w="2518" w:type="dxa"/>
          </w:tcPr>
          <w:p w14:paraId="67190B2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Highly effective concession processes</w:t>
            </w:r>
          </w:p>
        </w:tc>
        <w:tc>
          <w:tcPr>
            <w:tcW w:w="6662" w:type="dxa"/>
          </w:tcPr>
          <w:p w14:paraId="46CD38D2"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(i.e. for scaling up to other SADC countries)</w:t>
            </w:r>
          </w:p>
        </w:tc>
      </w:tr>
      <w:tr w:rsidR="007F14B3" w:rsidRPr="00D011D7" w14:paraId="79F43375" w14:textId="77777777" w:rsidTr="009F37BC">
        <w:tc>
          <w:tcPr>
            <w:tcW w:w="2518" w:type="dxa"/>
          </w:tcPr>
          <w:p w14:paraId="725188D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Lessons learned</w:t>
            </w:r>
          </w:p>
        </w:tc>
        <w:tc>
          <w:tcPr>
            <w:tcW w:w="6662" w:type="dxa"/>
          </w:tcPr>
          <w:p w14:paraId="3CFABB67"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(for guidelines)</w:t>
            </w:r>
          </w:p>
        </w:tc>
      </w:tr>
    </w:tbl>
    <w:p w14:paraId="286715ED" w14:textId="58F4108C" w:rsidR="007F14B3" w:rsidRPr="00E45652" w:rsidRDefault="00E45652" w:rsidP="007F14B3">
      <w:pPr>
        <w:spacing w:before="0" w:after="0" w:line="240" w:lineRule="auto"/>
        <w:rPr>
          <w:rFonts w:ascii="Garamond" w:hAnsi="Garamond" w:cs="Arial"/>
          <w:lang w:val="en-GB"/>
        </w:rPr>
      </w:pPr>
      <w:r w:rsidRPr="00E45652">
        <w:rPr>
          <w:rFonts w:ascii="Garamond" w:hAnsi="Garamond" w:cs="Arial"/>
          <w:lang w:val="en-GB"/>
        </w:rPr>
        <w:t>BoI, 2009</w:t>
      </w:r>
    </w:p>
    <w:p w14:paraId="15C0F9D8" w14:textId="2761801D" w:rsidR="007F14B3" w:rsidRPr="00D011D7" w:rsidRDefault="007F14B3" w:rsidP="007F14B3">
      <w:pPr>
        <w:rPr>
          <w:rFonts w:ascii="Garamond" w:hAnsi="Garamond" w:cs="Arial"/>
          <w:b/>
          <w:lang w:val="en-GB"/>
        </w:rPr>
      </w:pPr>
      <w:r w:rsidRPr="00D011D7">
        <w:rPr>
          <w:rFonts w:ascii="Garamond" w:hAnsi="Garamond" w:cs="Arial"/>
          <w:b/>
          <w:lang w:val="en-GB"/>
        </w:rPr>
        <w:t>Investor information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7F14B3" w:rsidRPr="00D011D7" w14:paraId="1DB51F55" w14:textId="77777777" w:rsidTr="00F12046">
        <w:tc>
          <w:tcPr>
            <w:tcW w:w="2518" w:type="dxa"/>
          </w:tcPr>
          <w:p w14:paraId="273D97A8"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International airports</w:t>
            </w:r>
          </w:p>
          <w:p w14:paraId="00EFC6C0"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p>
        </w:tc>
        <w:tc>
          <w:tcPr>
            <w:tcW w:w="6662" w:type="dxa"/>
          </w:tcPr>
          <w:p w14:paraId="09A86881" w14:textId="4884BD5D"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A state-of-the-art international airport which includes a new passenger terminal of 57,000</w:t>
            </w:r>
            <w:r w:rsidR="00F12046" w:rsidRPr="007376A4">
              <w:rPr>
                <w:rFonts w:ascii="Garamond" w:eastAsia="ＭＳ 明朝" w:hAnsi="Garamond" w:cs="Arial"/>
                <w:sz w:val="20"/>
                <w:szCs w:val="20"/>
                <w:lang w:val="en-GB"/>
              </w:rPr>
              <w:t xml:space="preserve"> </w:t>
            </w:r>
            <w:r w:rsidRPr="007376A4">
              <w:rPr>
                <w:rFonts w:ascii="Garamond" w:eastAsia="ＭＳ 明朝" w:hAnsi="Garamond" w:cs="Arial"/>
                <w:sz w:val="20"/>
                <w:szCs w:val="20"/>
                <w:lang w:val="en-GB"/>
              </w:rPr>
              <w:t>m</w:t>
            </w:r>
            <w:r w:rsidRPr="007376A4">
              <w:rPr>
                <w:rFonts w:ascii="Garamond" w:eastAsia="ＭＳ 明朝" w:hAnsi="Garamond" w:cs="Arial"/>
                <w:position w:val="8"/>
                <w:sz w:val="20"/>
                <w:szCs w:val="20"/>
                <w:vertAlign w:val="superscript"/>
                <w:lang w:val="en-GB"/>
              </w:rPr>
              <w:t>2</w:t>
            </w:r>
            <w:r w:rsidRPr="007376A4">
              <w:rPr>
                <w:rFonts w:ascii="Garamond" w:eastAsia="ＭＳ 明朝" w:hAnsi="Garamond" w:cs="Arial"/>
                <w:position w:val="8"/>
                <w:sz w:val="20"/>
                <w:szCs w:val="20"/>
                <w:lang w:val="en-GB"/>
              </w:rPr>
              <w:t xml:space="preserve"> </w:t>
            </w:r>
            <w:r w:rsidRPr="007376A4">
              <w:rPr>
                <w:rFonts w:ascii="Garamond" w:eastAsia="ＭＳ 明朝" w:hAnsi="Garamond" w:cs="Arial"/>
                <w:sz w:val="20"/>
                <w:szCs w:val="20"/>
                <w:lang w:val="en-GB"/>
              </w:rPr>
              <w:t>which has a carrying capacity of 4 million passengers, 52 check-in desks, 5 boarding gates of which one is A380 compatible, 26 immigration counters, 5 telescopic passenger boarding bridges, 5 baggage claim carrousels and a new aircraft parking area.</w:t>
            </w:r>
          </w:p>
          <w:p w14:paraId="1CBDCB8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p>
          <w:p w14:paraId="38367F0E"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Dedicated cruise passenger terminal at Port Louis harbour</w:t>
            </w:r>
          </w:p>
        </w:tc>
      </w:tr>
      <w:tr w:rsidR="007F14B3" w:rsidRPr="00D011D7" w14:paraId="273B57A0" w14:textId="77777777" w:rsidTr="00F12046">
        <w:tc>
          <w:tcPr>
            <w:tcW w:w="2518" w:type="dxa"/>
          </w:tcPr>
          <w:p w14:paraId="487FB694"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National carrier</w:t>
            </w:r>
          </w:p>
        </w:tc>
        <w:tc>
          <w:tcPr>
            <w:tcW w:w="6662" w:type="dxa"/>
          </w:tcPr>
          <w:p w14:paraId="668C162B"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Air Mauritius.</w:t>
            </w:r>
          </w:p>
        </w:tc>
      </w:tr>
      <w:tr w:rsidR="007F14B3" w:rsidRPr="00D011D7" w14:paraId="6F53113A" w14:textId="77777777" w:rsidTr="00F12046">
        <w:tc>
          <w:tcPr>
            <w:tcW w:w="2518" w:type="dxa"/>
          </w:tcPr>
          <w:p w14:paraId="2A9D4D19"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Internal transport</w:t>
            </w:r>
          </w:p>
        </w:tc>
        <w:tc>
          <w:tcPr>
            <w:tcW w:w="6662" w:type="dxa"/>
          </w:tcPr>
          <w:p w14:paraId="6FA385DB"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Excellent road network including a multiple lane highway linking the airport. </w:t>
            </w:r>
          </w:p>
        </w:tc>
      </w:tr>
      <w:tr w:rsidR="007F14B3" w:rsidRPr="00D011D7" w14:paraId="2B363BB9" w14:textId="77777777" w:rsidTr="00F12046">
        <w:tc>
          <w:tcPr>
            <w:tcW w:w="2518" w:type="dxa"/>
          </w:tcPr>
          <w:p w14:paraId="60C8C2D9"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Communications availability</w:t>
            </w:r>
          </w:p>
        </w:tc>
        <w:tc>
          <w:tcPr>
            <w:tcW w:w="6662" w:type="dxa"/>
          </w:tcPr>
          <w:p w14:paraId="10E7E483"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Well-developed digital network infrastructure, broadband internet connection and excellent telecommunication facilities</w:t>
            </w:r>
          </w:p>
        </w:tc>
      </w:tr>
      <w:tr w:rsidR="007F14B3" w:rsidRPr="00D011D7" w14:paraId="588E536B" w14:textId="77777777" w:rsidTr="00F12046">
        <w:tc>
          <w:tcPr>
            <w:tcW w:w="2518" w:type="dxa"/>
          </w:tcPr>
          <w:p w14:paraId="5A9E02A5"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Corporate tax rate</w:t>
            </w:r>
          </w:p>
        </w:tc>
        <w:tc>
          <w:tcPr>
            <w:tcW w:w="6662" w:type="dxa"/>
          </w:tcPr>
          <w:p w14:paraId="7AD856FE"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 xml:space="preserve">15% corporate tax applicable to Hospitality and Leisure related activities. </w:t>
            </w:r>
          </w:p>
        </w:tc>
      </w:tr>
      <w:tr w:rsidR="007F14B3" w:rsidRPr="00D011D7" w14:paraId="6CC52B41" w14:textId="77777777" w:rsidTr="00F12046">
        <w:tc>
          <w:tcPr>
            <w:tcW w:w="2518" w:type="dxa"/>
          </w:tcPr>
          <w:p w14:paraId="67232788"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regarding repatriation of profits and dividends</w:t>
            </w:r>
          </w:p>
        </w:tc>
        <w:tc>
          <w:tcPr>
            <w:tcW w:w="6662" w:type="dxa"/>
          </w:tcPr>
          <w:p w14:paraId="4AB06951"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Free repatriation of profits, dividends and capital</w:t>
            </w:r>
          </w:p>
        </w:tc>
      </w:tr>
      <w:tr w:rsidR="007F14B3" w:rsidRPr="00D011D7" w14:paraId="5F329AFD" w14:textId="77777777" w:rsidTr="00F12046">
        <w:tc>
          <w:tcPr>
            <w:tcW w:w="2518" w:type="dxa"/>
          </w:tcPr>
          <w:p w14:paraId="63194CDB"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Investment Incentives</w:t>
            </w:r>
          </w:p>
        </w:tc>
        <w:tc>
          <w:tcPr>
            <w:tcW w:w="6662" w:type="dxa"/>
          </w:tcPr>
          <w:p w14:paraId="5CA64B4B"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15% Value Added Tax</w:t>
            </w:r>
          </w:p>
          <w:p w14:paraId="72A35F00"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Flat rate of 15% corporate tax</w:t>
            </w:r>
          </w:p>
          <w:p w14:paraId="00806C47"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Low custom duties-There are only three bands for customs duties with a  maximum of 30% except for motor vehicles, liquor and tobacco</w:t>
            </w:r>
          </w:p>
          <w:p w14:paraId="59C69B36"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No inheritance tax</w:t>
            </w:r>
          </w:p>
          <w:p w14:paraId="333D4208"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100% foreign ownership allowed (except in Diving business (not more than 30% investment by non-citizens)</w:t>
            </w:r>
          </w:p>
          <w:p w14:paraId="501B02EC"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No minimum foreign capital required – minimum required for those willing to work and live in Mauritius</w:t>
            </w:r>
          </w:p>
          <w:p w14:paraId="374C05A8"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5% registration duty on acquisition of immovable property for business purposes</w:t>
            </w:r>
          </w:p>
          <w:p w14:paraId="7A81C369"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Annual allowance on capital expenditure for the acquisition, construction or extension of industrial premises, shops and shopping malls, offices and showrooms, restaurants, entertainment premises and setting up of golf courses</w:t>
            </w:r>
          </w:p>
        </w:tc>
      </w:tr>
      <w:tr w:rsidR="007F14B3" w:rsidRPr="00D011D7" w14:paraId="125102EA" w14:textId="77777777" w:rsidTr="00F12046">
        <w:tc>
          <w:tcPr>
            <w:tcW w:w="2518" w:type="dxa"/>
          </w:tcPr>
          <w:p w14:paraId="3370C1E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related to requirements for local partners</w:t>
            </w:r>
          </w:p>
        </w:tc>
        <w:tc>
          <w:tcPr>
            <w:tcW w:w="6662" w:type="dxa"/>
          </w:tcPr>
          <w:p w14:paraId="405FFD3D"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No restriction for the purchase of immovable property for business purposes by foreign controlled companies registered with the Board of Investment.</w:t>
            </w:r>
          </w:p>
          <w:p w14:paraId="07CB037A" w14:textId="3D82EB32" w:rsidR="00A21606" w:rsidRPr="007376A4" w:rsidRDefault="00A21606"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 xml:space="preserve">Guesthouses require local incorporation of  a company. </w:t>
            </w:r>
          </w:p>
        </w:tc>
      </w:tr>
      <w:tr w:rsidR="007F14B3" w:rsidRPr="00D011D7" w14:paraId="15626105" w14:textId="77777777" w:rsidTr="00F12046">
        <w:tc>
          <w:tcPr>
            <w:tcW w:w="2518" w:type="dxa"/>
          </w:tcPr>
          <w:p w14:paraId="48E9893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regarding land ownership by foreign companies</w:t>
            </w:r>
          </w:p>
        </w:tc>
        <w:tc>
          <w:tcPr>
            <w:tcW w:w="6662" w:type="dxa"/>
          </w:tcPr>
          <w:p w14:paraId="42413A3A"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Mauritius' real estate and property market has seen extensive development in recent years and many investors, both locally and foreign, have benefited greatly. The immovable property market in Mauritius is well regulated and protects the property rights of investors, lenders, developers and occupiers. The Constitution of Mauritius protects the right of land owners from deprivation of property. Guarantee of an ownership title means that an owner may not be deprived of his ownership rights other than by a court decision.</w:t>
            </w:r>
          </w:p>
          <w:p w14:paraId="5B638E99"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By virtue of Article 3 of the Civil Code, a property owned by a non-citizen of Mauritius is governed by the laws of Mauritius</w:t>
            </w:r>
          </w:p>
        </w:tc>
      </w:tr>
      <w:tr w:rsidR="007F14B3" w:rsidRPr="00D011D7" w14:paraId="48687884" w14:textId="77777777" w:rsidTr="00F12046">
        <w:tc>
          <w:tcPr>
            <w:tcW w:w="2518" w:type="dxa"/>
          </w:tcPr>
          <w:p w14:paraId="7A30C3B2"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Availability of work permits for expatriate staff</w:t>
            </w:r>
          </w:p>
        </w:tc>
        <w:tc>
          <w:tcPr>
            <w:tcW w:w="6662" w:type="dxa"/>
          </w:tcPr>
          <w:p w14:paraId="3BD07D6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Mauritius has a single occupation permit instead of work and residence permits which is granted within 3 days following the application to investors with an annual turnover exceeding US$ 132 000 and professionals being offered employment for a monthly salary exceeding US$ 1 500.</w:t>
            </w:r>
          </w:p>
        </w:tc>
      </w:tr>
      <w:tr w:rsidR="007F14B3" w:rsidRPr="00D011D7" w14:paraId="116A4ED1" w14:textId="77777777" w:rsidTr="00F12046">
        <w:tc>
          <w:tcPr>
            <w:tcW w:w="2518" w:type="dxa"/>
          </w:tcPr>
          <w:p w14:paraId="6AE4497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Investment guarantees</w:t>
            </w:r>
          </w:p>
          <w:p w14:paraId="52E2B76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p>
        </w:tc>
        <w:tc>
          <w:tcPr>
            <w:tcW w:w="6662" w:type="dxa"/>
          </w:tcPr>
          <w:p w14:paraId="5EA23F7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Mauritius has introduced a sound legal and regulatory framework to make the island business-friendly, where the interests of the investor community, both local and foreign, are safeguarded. Mauritius is one of the leading countries globally in terms of the strength of investor protection and is ranked 19th in the world in this regard in the World Bank's 2013 ‘Doing Business’ report.</w:t>
            </w:r>
          </w:p>
        </w:tc>
      </w:tr>
      <w:tr w:rsidR="007F14B3" w:rsidRPr="00D011D7" w14:paraId="5DEB402E" w14:textId="77777777" w:rsidTr="00F12046">
        <w:tc>
          <w:tcPr>
            <w:tcW w:w="2518" w:type="dxa"/>
          </w:tcPr>
          <w:p w14:paraId="365E687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Restrictions on foreign investment</w:t>
            </w:r>
          </w:p>
        </w:tc>
        <w:tc>
          <w:tcPr>
            <w:tcW w:w="6662" w:type="dxa"/>
          </w:tcPr>
          <w:p w14:paraId="086CADF3" w14:textId="77777777" w:rsidR="007D5EEC" w:rsidRPr="007376A4" w:rsidRDefault="007D5EEC" w:rsidP="009F37BC">
            <w:pPr>
              <w:pStyle w:val="ListParagraph"/>
              <w:widowControl w:val="0"/>
              <w:autoSpaceDE w:val="0"/>
              <w:autoSpaceDN w:val="0"/>
              <w:adjustRightInd w:val="0"/>
              <w:spacing w:before="0" w:after="0" w:line="240" w:lineRule="auto"/>
              <w:ind w:left="360"/>
              <w:jc w:val="left"/>
              <w:rPr>
                <w:rFonts w:ascii="Garamond" w:eastAsia="ＭＳ 明朝" w:hAnsi="Garamond" w:cs="Arial"/>
                <w:sz w:val="20"/>
                <w:szCs w:val="20"/>
                <w:lang w:val="en-GB"/>
              </w:rPr>
            </w:pPr>
            <w:r w:rsidRPr="007376A4">
              <w:rPr>
                <w:rFonts w:ascii="Garamond" w:eastAsia="ＭＳ 明朝" w:hAnsi="Garamond" w:cs="Arial"/>
                <w:sz w:val="20"/>
                <w:szCs w:val="20"/>
                <w:lang w:val="en-GB"/>
              </w:rPr>
              <w:t>No minimum foreign capital required</w:t>
            </w:r>
          </w:p>
          <w:p w14:paraId="581A54B8" w14:textId="2177B522" w:rsidR="007F14B3" w:rsidRPr="007376A4" w:rsidRDefault="007F14B3" w:rsidP="007F14B3">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Investment by non-citizens in scuba diving business should not exceed 30% of total investment</w:t>
            </w:r>
          </w:p>
          <w:p w14:paraId="43D5C0FE" w14:textId="1DFFC659" w:rsidR="007F14B3" w:rsidRPr="007376A4" w:rsidRDefault="007F14B3" w:rsidP="007F14B3">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Investment by non-citizens in pleasure craft business (i.e. licence to operate pleasure craft for commercial purpose) should first be approved by the Ministry of Tourism &amp; Leisure. The current policy is such that the non-citizen or company should invest at least Rs. 10</w:t>
            </w:r>
            <w:r w:rsidR="007D5EEC" w:rsidRPr="007376A4">
              <w:rPr>
                <w:rFonts w:ascii="Garamond" w:eastAsia="ＭＳ 明朝" w:hAnsi="Garamond" w:cs="Arial"/>
                <w:sz w:val="20"/>
                <w:szCs w:val="20"/>
                <w:lang w:val="en-GB"/>
              </w:rPr>
              <w:t xml:space="preserve"> million (approx. USD 334,000) </w:t>
            </w:r>
            <w:r w:rsidRPr="007376A4">
              <w:rPr>
                <w:rFonts w:ascii="Garamond" w:eastAsia="ＭＳ 明朝" w:hAnsi="Garamond" w:cs="Arial"/>
                <w:sz w:val="20"/>
                <w:szCs w:val="20"/>
                <w:lang w:val="en-GB"/>
              </w:rPr>
              <w:t>in this type of business and the project should be innovative</w:t>
            </w:r>
          </w:p>
          <w:p w14:paraId="5DA7413B" w14:textId="56CE38A5" w:rsidR="00A21606" w:rsidRPr="007376A4" w:rsidRDefault="00A21606" w:rsidP="00A21606">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Minimum investment in guesthouses and tourist residences (12 rooms); Rs2 m per room</w:t>
            </w:r>
          </w:p>
          <w:p w14:paraId="4388484F" w14:textId="77777777" w:rsidR="00346D6C" w:rsidRPr="007376A4" w:rsidRDefault="00346D6C" w:rsidP="00A21606">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Pleasure craft for commercial purposes: Minimun investment of Rs10 m</w:t>
            </w:r>
          </w:p>
          <w:p w14:paraId="7A59B114" w14:textId="172A0666" w:rsidR="007F14B3" w:rsidRPr="007376A4" w:rsidRDefault="00346D6C" w:rsidP="005245FB">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Tour operators: no restrictiions; applicants submit a business plan and project should meet licensing requirements.</w:t>
            </w:r>
          </w:p>
        </w:tc>
      </w:tr>
    </w:tbl>
    <w:p w14:paraId="2509FE8D" w14:textId="6A9683F5" w:rsidR="007F14B3" w:rsidRDefault="007F14B3" w:rsidP="007F14B3">
      <w:pPr>
        <w:spacing w:before="0" w:after="0" w:line="240" w:lineRule="auto"/>
        <w:jc w:val="left"/>
        <w:rPr>
          <w:rFonts w:ascii="Garamond" w:hAnsi="Garamond" w:cs="Arial"/>
          <w:lang w:val="en-GB"/>
        </w:rPr>
      </w:pPr>
      <w:r w:rsidRPr="00D011D7">
        <w:rPr>
          <w:rFonts w:ascii="Garamond" w:hAnsi="Garamond" w:cs="Arial"/>
          <w:lang w:val="en-GB"/>
        </w:rPr>
        <w:t>Source: RETOSA 2014, pp42-43</w:t>
      </w:r>
    </w:p>
    <w:p w14:paraId="54C9BFAA" w14:textId="77777777" w:rsidR="002B77BD" w:rsidRDefault="002B77BD" w:rsidP="007F14B3">
      <w:pPr>
        <w:spacing w:before="0" w:after="0" w:line="240" w:lineRule="auto"/>
        <w:jc w:val="left"/>
        <w:rPr>
          <w:rFonts w:ascii="Garamond" w:hAnsi="Garamond" w:cs="Arial"/>
          <w:lang w:val="en-GB"/>
        </w:rPr>
      </w:pPr>
    </w:p>
    <w:p w14:paraId="6C8C0F43" w14:textId="77777777" w:rsidR="00D011D7" w:rsidRPr="00D011D7" w:rsidRDefault="00D011D7" w:rsidP="007F14B3">
      <w:pPr>
        <w:spacing w:before="0" w:after="0" w:line="240" w:lineRule="auto"/>
        <w:jc w:val="left"/>
        <w:rPr>
          <w:rFonts w:ascii="Garamond" w:hAnsi="Garamond" w:cs="Arial"/>
          <w:lang w:val="en-GB"/>
        </w:rPr>
      </w:pPr>
    </w:p>
    <w:p w14:paraId="6B822F6F" w14:textId="77777777" w:rsidR="00D60281" w:rsidRPr="006311F5" w:rsidRDefault="00D60281" w:rsidP="00D60281">
      <w:pPr>
        <w:pStyle w:val="Heading3"/>
        <w:rPr>
          <w:rFonts w:ascii="Garamond" w:hAnsi="Garamond"/>
        </w:rPr>
      </w:pPr>
      <w:bookmarkStart w:id="91" w:name="_Toc269636366"/>
      <w:r w:rsidRPr="006311F5">
        <w:rPr>
          <w:rFonts w:ascii="Garamond" w:hAnsi="Garamond"/>
        </w:rPr>
        <w:t>Mozambique</w:t>
      </w:r>
      <w:bookmarkEnd w:id="91"/>
    </w:p>
    <w:p w14:paraId="0C402B92" w14:textId="77777777" w:rsidR="00467268" w:rsidRDefault="00467268" w:rsidP="00467268">
      <w:pPr>
        <w:spacing w:before="0" w:after="0" w:line="240" w:lineRule="auto"/>
        <w:rPr>
          <w:rFonts w:asciiTheme="majorHAnsi" w:hAnsiTheme="majorHAnsi"/>
          <w:b/>
          <w:u w:val="single"/>
        </w:rPr>
      </w:pPr>
    </w:p>
    <w:p w14:paraId="43DA7645" w14:textId="14D43098" w:rsidR="00467268" w:rsidRPr="00635354" w:rsidRDefault="00467268" w:rsidP="00467268">
      <w:pPr>
        <w:spacing w:before="0" w:after="0" w:line="240" w:lineRule="auto"/>
        <w:rPr>
          <w:rFonts w:ascii="Garamond" w:hAnsi="Garamond"/>
          <w:b/>
        </w:rPr>
      </w:pPr>
      <w:r w:rsidRPr="00635354">
        <w:rPr>
          <w:rFonts w:ascii="Garamond" w:hAnsi="Garamond"/>
          <w:b/>
        </w:rPr>
        <w:t>Concession information</w:t>
      </w:r>
    </w:p>
    <w:p w14:paraId="2EF81547" w14:textId="77777777" w:rsidR="00467268" w:rsidRPr="00635354" w:rsidRDefault="00467268" w:rsidP="00467268">
      <w:pPr>
        <w:spacing w:before="0" w:after="0" w:line="240" w:lineRule="auto"/>
        <w:rPr>
          <w:rFonts w:ascii="Garamond" w:hAnsi="Garamond"/>
          <w:b/>
          <w:u w:val="single"/>
        </w:rPr>
      </w:pPr>
    </w:p>
    <w:tbl>
      <w:tblPr>
        <w:tblStyle w:val="TableGrid"/>
        <w:tblW w:w="0" w:type="auto"/>
        <w:tblLook w:val="04A0" w:firstRow="1" w:lastRow="0" w:firstColumn="1" w:lastColumn="0" w:noHBand="0" w:noVBand="1"/>
      </w:tblPr>
      <w:tblGrid>
        <w:gridCol w:w="2047"/>
        <w:gridCol w:w="6850"/>
      </w:tblGrid>
      <w:tr w:rsidR="00467268" w:rsidRPr="00635354" w14:paraId="4E396784" w14:textId="77777777" w:rsidTr="009F37BC">
        <w:tc>
          <w:tcPr>
            <w:tcW w:w="2047" w:type="dxa"/>
          </w:tcPr>
          <w:p w14:paraId="1A2A6BA3" w14:textId="77777777" w:rsidR="00467268"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Relevant policies, strategies and legislation</w:t>
            </w:r>
          </w:p>
          <w:p w14:paraId="7E5500F5" w14:textId="77777777" w:rsidR="009F37BC" w:rsidRPr="009F37BC" w:rsidRDefault="009F37BC" w:rsidP="00467268">
            <w:pPr>
              <w:widowControl w:val="0"/>
              <w:autoSpaceDE w:val="0"/>
              <w:autoSpaceDN w:val="0"/>
              <w:adjustRightInd w:val="0"/>
              <w:spacing w:before="0" w:after="0" w:line="240" w:lineRule="auto"/>
              <w:jc w:val="left"/>
              <w:rPr>
                <w:rFonts w:ascii="Garamond" w:hAnsi="Garamond" w:cs="Times"/>
                <w:sz w:val="20"/>
                <w:szCs w:val="20"/>
              </w:rPr>
            </w:pPr>
          </w:p>
        </w:tc>
        <w:tc>
          <w:tcPr>
            <w:tcW w:w="6850" w:type="dxa"/>
          </w:tcPr>
          <w:p w14:paraId="15D7F66D" w14:textId="687002E9" w:rsidR="00467268" w:rsidRPr="009F37BC" w:rsidRDefault="00467268" w:rsidP="00467268">
            <w:pPr>
              <w:pStyle w:val="NumberedParas"/>
              <w:widowControl w:val="0"/>
              <w:numPr>
                <w:ilvl w:val="0"/>
                <w:numId w:val="0"/>
              </w:numPr>
              <w:contextualSpacing/>
              <w:rPr>
                <w:rFonts w:ascii="Garamond" w:hAnsi="Garamond"/>
                <w:sz w:val="20"/>
                <w:szCs w:val="20"/>
                <w:lang w:val="en-GB" w:eastAsia="en-ZA"/>
              </w:rPr>
            </w:pPr>
            <w:r w:rsidRPr="009F37BC">
              <w:rPr>
                <w:rFonts w:ascii="Garamond" w:hAnsi="Garamond"/>
                <w:sz w:val="20"/>
                <w:szCs w:val="20"/>
                <w:lang w:val="en-GB" w:eastAsia="en-ZA"/>
              </w:rPr>
              <w:t>T</w:t>
            </w:r>
            <w:r w:rsidRPr="009F37BC">
              <w:rPr>
                <w:rFonts w:ascii="Garamond" w:hAnsi="Garamond"/>
                <w:b/>
                <w:sz w:val="20"/>
                <w:szCs w:val="20"/>
                <w:lang w:val="en-GB" w:eastAsia="en-ZA"/>
              </w:rPr>
              <w:t>Conservation Areas Act</w:t>
            </w:r>
            <w:r w:rsidRPr="009F37BC">
              <w:rPr>
                <w:rFonts w:ascii="Garamond" w:hAnsi="Garamond"/>
                <w:sz w:val="20"/>
                <w:szCs w:val="20"/>
                <w:lang w:val="en-GB" w:eastAsia="en-ZA"/>
              </w:rPr>
              <w:t xml:space="preserve">, approved in April 2014, states that each </w:t>
            </w:r>
            <w:r w:rsidRPr="009F37BC">
              <w:rPr>
                <w:rFonts w:ascii="Garamond" w:eastAsia="Calibri" w:hAnsi="Garamond" w:cs="Verdana"/>
                <w:color w:val="303030"/>
                <w:sz w:val="20"/>
                <w:szCs w:val="20"/>
              </w:rPr>
              <w:t>conservation area will be run by a Management Council, chaired by a government-appointed administrator of the area, and including representatives of local communities, private businesses and local state bodies.</w:t>
            </w:r>
            <w:r w:rsidRPr="009F37BC">
              <w:rPr>
                <w:rStyle w:val="FootnoteReference"/>
                <w:rFonts w:ascii="Garamond" w:eastAsia="Calibri" w:hAnsi="Garamond" w:cs="Verdana"/>
                <w:color w:val="303030"/>
                <w:sz w:val="20"/>
                <w:szCs w:val="20"/>
              </w:rPr>
              <w:footnoteReference w:id="66"/>
            </w:r>
            <w:r w:rsidRPr="009F37BC">
              <w:rPr>
                <w:rFonts w:ascii="Garamond" w:eastAsia="Calibri" w:hAnsi="Garamond" w:cs="Verdana"/>
                <w:color w:val="303030"/>
                <w:sz w:val="20"/>
                <w:szCs w:val="20"/>
              </w:rPr>
              <w:t xml:space="preserve"> </w:t>
            </w:r>
            <w:r w:rsidRPr="009F37BC">
              <w:rPr>
                <w:rFonts w:ascii="Garamond" w:hAnsi="Garamond"/>
                <w:sz w:val="20"/>
                <w:szCs w:val="20"/>
                <w:lang w:val="en-GB" w:eastAsia="en-ZA"/>
              </w:rPr>
              <w:t xml:space="preserve"> The </w:t>
            </w:r>
            <w:r w:rsidRPr="009F37BC">
              <w:rPr>
                <w:rFonts w:ascii="Garamond" w:hAnsi="Garamond"/>
                <w:b/>
                <w:sz w:val="20"/>
                <w:szCs w:val="20"/>
                <w:lang w:val="en-GB" w:eastAsia="en-ZA"/>
              </w:rPr>
              <w:t>Tourism establishments and activities Licensing Regime</w:t>
            </w:r>
            <w:r w:rsidRPr="009F37BC">
              <w:rPr>
                <w:rFonts w:ascii="Garamond" w:hAnsi="Garamond"/>
                <w:sz w:val="20"/>
                <w:szCs w:val="20"/>
                <w:lang w:val="en-GB" w:eastAsia="en-ZA"/>
              </w:rPr>
              <w:t xml:space="preserve"> (Decree 18/2007) outlines the type of tourism products that can take in protected areas. Permissible activities include ecotourism, hunting, photography, filming, recreational diving and others as described in protected area management plans.  This Decree also establishes that local communities need to be consulted and formally give their opinion on the development of tourism projects in protected areas.</w:t>
            </w:r>
            <w:r w:rsidRPr="009F37BC">
              <w:rPr>
                <w:rStyle w:val="FootnoteReference"/>
                <w:rFonts w:ascii="Garamond" w:hAnsi="Garamond"/>
                <w:sz w:val="20"/>
                <w:szCs w:val="20"/>
                <w:lang w:val="en-GB" w:eastAsia="en-ZA"/>
              </w:rPr>
              <w:footnoteReference w:id="67"/>
            </w:r>
            <w:r w:rsidRPr="009F37BC">
              <w:rPr>
                <w:rFonts w:ascii="Garamond" w:hAnsi="Garamond"/>
                <w:sz w:val="20"/>
                <w:szCs w:val="20"/>
                <w:lang w:val="en-GB" w:eastAsia="en-ZA"/>
              </w:rPr>
              <w:t xml:space="preserve"> </w:t>
            </w:r>
          </w:p>
          <w:p w14:paraId="19156C2C" w14:textId="77777777" w:rsidR="00467268" w:rsidRPr="009F37BC" w:rsidRDefault="00467268" w:rsidP="00467268">
            <w:pPr>
              <w:pStyle w:val="NumberedParas"/>
              <w:widowControl w:val="0"/>
              <w:numPr>
                <w:ilvl w:val="0"/>
                <w:numId w:val="0"/>
              </w:numPr>
              <w:contextualSpacing/>
              <w:rPr>
                <w:rFonts w:ascii="Garamond" w:hAnsi="Garamond"/>
                <w:sz w:val="20"/>
                <w:szCs w:val="20"/>
                <w:lang w:val="en-GB" w:eastAsia="en-ZA"/>
              </w:rPr>
            </w:pPr>
          </w:p>
          <w:p w14:paraId="69D9F8D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r w:rsidRPr="009F37BC">
              <w:rPr>
                <w:rFonts w:ascii="Garamond" w:hAnsi="Garamond"/>
                <w:b/>
                <w:sz w:val="20"/>
                <w:szCs w:val="20"/>
              </w:rPr>
              <w:t>Tourism user fees</w:t>
            </w:r>
            <w:r w:rsidRPr="009F37BC">
              <w:rPr>
                <w:rFonts w:ascii="Garamond" w:hAnsi="Garamond"/>
                <w:sz w:val="20"/>
                <w:szCs w:val="20"/>
              </w:rPr>
              <w:t xml:space="preserve"> in National Parks and Reserves, that are applied to concessionaires and others, are established under  Decree 27/2003.  It indicates specific fees for entry, adventure, area occupation/site</w:t>
            </w:r>
            <w:r w:rsidRPr="009F37BC">
              <w:rPr>
                <w:rStyle w:val="FootnoteReference"/>
                <w:rFonts w:ascii="Garamond" w:hAnsi="Garamond"/>
                <w:sz w:val="20"/>
                <w:szCs w:val="20"/>
              </w:rPr>
              <w:footnoteReference w:id="68"/>
            </w:r>
            <w:r w:rsidRPr="009F37BC">
              <w:rPr>
                <w:rFonts w:ascii="Garamond" w:hAnsi="Garamond"/>
                <w:sz w:val="20"/>
                <w:szCs w:val="20"/>
              </w:rPr>
              <w:t xml:space="preserve">, camping and other (e.g. photography, filming, towing, search (and rescue), sport fishing, scuba diving, snorkelling, and scientific research).  Furthermore, legislation on the </w:t>
            </w:r>
            <w:r w:rsidRPr="009F37BC">
              <w:rPr>
                <w:rFonts w:ascii="Garamond" w:hAnsi="Garamond"/>
                <w:b/>
                <w:sz w:val="20"/>
                <w:szCs w:val="20"/>
              </w:rPr>
              <w:t>sharing of PA tourism revenues legislation</w:t>
            </w:r>
            <w:r w:rsidRPr="009F37BC">
              <w:rPr>
                <w:rFonts w:ascii="Garamond" w:hAnsi="Garamond"/>
                <w:sz w:val="20"/>
                <w:szCs w:val="20"/>
              </w:rPr>
              <w:t xml:space="preserve"> (Decree 15/2009 and Ministerial Diploma 66/2010), whereby communities</w:t>
            </w:r>
            <w:r w:rsidRPr="009F37BC">
              <w:rPr>
                <w:rStyle w:val="FootnoteReference"/>
                <w:rFonts w:ascii="Garamond" w:hAnsi="Garamond"/>
                <w:sz w:val="20"/>
                <w:szCs w:val="20"/>
              </w:rPr>
              <w:footnoteReference w:id="69"/>
            </w:r>
            <w:r w:rsidRPr="009F37BC">
              <w:rPr>
                <w:rFonts w:ascii="Garamond" w:hAnsi="Garamond"/>
                <w:sz w:val="20"/>
                <w:szCs w:val="20"/>
              </w:rPr>
              <w:t xml:space="preserve"> are entitled to share of a protected area’s revenues.</w:t>
            </w:r>
          </w:p>
          <w:p w14:paraId="6A2C1988"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p>
          <w:p w14:paraId="7189333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r w:rsidRPr="009F37BC">
              <w:rPr>
                <w:rFonts w:ascii="Garamond" w:hAnsi="Garamond" w:cs="Garamond"/>
                <w:b/>
                <w:color w:val="000000" w:themeColor="text1"/>
                <w:sz w:val="20"/>
                <w:szCs w:val="20"/>
              </w:rPr>
              <w:t>Mozambican Immigration Law</w:t>
            </w:r>
            <w:r w:rsidRPr="009F37BC">
              <w:rPr>
                <w:rFonts w:ascii="Garamond" w:hAnsi="Garamond" w:cs="Garamond"/>
                <w:color w:val="000000" w:themeColor="text1"/>
                <w:sz w:val="20"/>
                <w:szCs w:val="20"/>
              </w:rPr>
              <w:t xml:space="preserve"> (Law 5/93 of 28 December) is regulated by the Immigration Regulation (Decree 38/06 of 27 September), and Decree 38/2000 that allows for the issuing of certain </w:t>
            </w:r>
            <w:r w:rsidRPr="009F37BC">
              <w:rPr>
                <w:rFonts w:ascii="Garamond" w:hAnsi="Garamond" w:cs="Garamond"/>
                <w:b/>
                <w:color w:val="000000" w:themeColor="text1"/>
                <w:sz w:val="20"/>
                <w:szCs w:val="20"/>
              </w:rPr>
              <w:t>visas at borders</w:t>
            </w:r>
            <w:r w:rsidRPr="009F37BC">
              <w:rPr>
                <w:rFonts w:ascii="Garamond" w:hAnsi="Garamond" w:cs="Garamond"/>
                <w:color w:val="000000" w:themeColor="text1"/>
                <w:sz w:val="20"/>
                <w:szCs w:val="20"/>
              </w:rPr>
              <w:t>, and Decree 26/99, which regulates work visas.</w:t>
            </w:r>
            <w:r w:rsidRPr="009F37BC">
              <w:rPr>
                <w:rStyle w:val="FootnoteReference"/>
                <w:rFonts w:ascii="Garamond" w:hAnsi="Garamond"/>
                <w:sz w:val="20"/>
                <w:szCs w:val="20"/>
              </w:rPr>
              <w:t xml:space="preserve"> </w:t>
            </w:r>
            <w:r w:rsidRPr="009F37BC">
              <w:rPr>
                <w:rStyle w:val="FootnoteReference"/>
                <w:rFonts w:ascii="Garamond" w:hAnsi="Garamond"/>
                <w:sz w:val="20"/>
                <w:szCs w:val="20"/>
              </w:rPr>
              <w:footnoteReference w:id="70"/>
            </w:r>
          </w:p>
          <w:p w14:paraId="377E9109"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p>
          <w:p w14:paraId="1E12B1BD" w14:textId="0D8EC7D6"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hAnsi="Garamond"/>
                <w:sz w:val="20"/>
                <w:szCs w:val="20"/>
              </w:rPr>
              <w:t>The legal framework that relates to sport hunting concessions includes a number of legal instruments</w:t>
            </w:r>
            <w:r w:rsidRPr="009F37BC">
              <w:rPr>
                <w:rStyle w:val="FootnoteReference"/>
                <w:rFonts w:ascii="Garamond" w:hAnsi="Garamond"/>
                <w:sz w:val="20"/>
                <w:szCs w:val="20"/>
              </w:rPr>
              <w:footnoteReference w:id="71"/>
            </w:r>
            <w:r w:rsidRPr="009F37BC">
              <w:rPr>
                <w:rFonts w:ascii="Garamond" w:hAnsi="Garamond"/>
                <w:sz w:val="20"/>
                <w:szCs w:val="20"/>
              </w:rPr>
              <w:t xml:space="preserve">. The </w:t>
            </w:r>
            <w:r w:rsidRPr="009F37BC">
              <w:rPr>
                <w:rFonts w:ascii="Garamond" w:hAnsi="Garamond"/>
                <w:b/>
                <w:sz w:val="20"/>
                <w:szCs w:val="20"/>
              </w:rPr>
              <w:t>Law of Forestry and Wildlife</w:t>
            </w:r>
            <w:r w:rsidRPr="009F37BC">
              <w:rPr>
                <w:rFonts w:ascii="Garamond" w:hAnsi="Garamond"/>
                <w:sz w:val="20"/>
                <w:szCs w:val="20"/>
              </w:rPr>
              <w:t xml:space="preserve"> (Law N° 10/99 of July 7, 1999)  and its Regulations (Decree N° 12/2002 of June 6, 2002) address key issues such as that forest and wildlife resources belong to the State; the involvement of local communities, the private sector and civil society; conservation and sustainable use.  The </w:t>
            </w:r>
            <w:r w:rsidRPr="009F37BC">
              <w:rPr>
                <w:rFonts w:ascii="Garamond" w:hAnsi="Garamond"/>
                <w:b/>
                <w:sz w:val="20"/>
                <w:szCs w:val="20"/>
              </w:rPr>
              <w:t>Land Act</w:t>
            </w:r>
            <w:r w:rsidRPr="009F37BC">
              <w:rPr>
                <w:rFonts w:ascii="Garamond" w:hAnsi="Garamond"/>
                <w:sz w:val="20"/>
                <w:szCs w:val="20"/>
              </w:rPr>
              <w:t xml:space="preserve"> (Law n ° 19/97 of 1 October 1997) and its Regulations (Decree n ° </w:t>
            </w:r>
            <w:r w:rsidRPr="009F37BC">
              <w:rPr>
                <w:rFonts w:ascii="Garamond" w:hAnsi="Garamond" w:cs="Times"/>
                <w:sz w:val="20"/>
                <w:szCs w:val="20"/>
              </w:rPr>
              <w:t> </w:t>
            </w:r>
            <w:r w:rsidRPr="009F37BC">
              <w:rPr>
                <w:rFonts w:ascii="Garamond" w:hAnsi="Garamond"/>
                <w:sz w:val="20"/>
                <w:szCs w:val="20"/>
              </w:rPr>
              <w:t xml:space="preserve">66/98 of 15 July 1998) define the extent of land that can be awarded for Fazendas at the Provincial (up to a maximum of 1000ha), Ministerial (1000ha to 10,000ha) and Council level. </w:t>
            </w:r>
            <w:r w:rsidRPr="009F37BC">
              <w:rPr>
                <w:rFonts w:ascii="Garamond" w:hAnsi="Garamond" w:cs="Times"/>
                <w:sz w:val="20"/>
                <w:szCs w:val="20"/>
              </w:rPr>
              <w:t xml:space="preserve"> </w:t>
            </w:r>
            <w:r w:rsidRPr="009F37BC">
              <w:rPr>
                <w:rFonts w:ascii="Garamond" w:hAnsi="Garamond"/>
                <w:sz w:val="20"/>
                <w:szCs w:val="20"/>
              </w:rPr>
              <w:t xml:space="preserve">The </w:t>
            </w:r>
            <w:r w:rsidRPr="009F37BC">
              <w:rPr>
                <w:rFonts w:ascii="Garamond" w:hAnsi="Garamond"/>
                <w:b/>
                <w:sz w:val="20"/>
                <w:szCs w:val="20"/>
              </w:rPr>
              <w:t>Tourism Act</w:t>
            </w:r>
            <w:r w:rsidRPr="009F37BC">
              <w:rPr>
                <w:rFonts w:ascii="Garamond" w:hAnsi="Garamond"/>
                <w:sz w:val="20"/>
                <w:szCs w:val="20"/>
              </w:rPr>
              <w:t xml:space="preserve"> (Law No. 4/2004 of 17 June 2004) includes hunting operators in the list of suppliers of products and tourism services, and the </w:t>
            </w:r>
            <w:r w:rsidRPr="009F37BC">
              <w:rPr>
                <w:rFonts w:ascii="Garamond" w:hAnsi="Garamond"/>
                <w:b/>
                <w:sz w:val="20"/>
                <w:szCs w:val="20"/>
              </w:rPr>
              <w:t>Arms Regulation and Ammunition</w:t>
            </w:r>
            <w:r w:rsidRPr="009F37BC">
              <w:rPr>
                <w:rFonts w:ascii="Garamond" w:hAnsi="Garamond"/>
                <w:sz w:val="20"/>
                <w:szCs w:val="20"/>
              </w:rPr>
              <w:t xml:space="preserve"> are addressed in the Council of Ministers Decree No </w:t>
            </w:r>
            <w:r w:rsidRPr="009F37BC">
              <w:rPr>
                <w:rFonts w:ascii="Garamond" w:hAnsi="Garamond" w:cs="Times"/>
                <w:sz w:val="20"/>
                <w:szCs w:val="20"/>
              </w:rPr>
              <w:t> </w:t>
            </w:r>
            <w:r w:rsidRPr="009F37BC">
              <w:rPr>
                <w:rFonts w:ascii="Garamond" w:hAnsi="Garamond"/>
                <w:sz w:val="20"/>
                <w:szCs w:val="20"/>
              </w:rPr>
              <w:t>8/2007 of 30 April. These lay down rules governing the possession, use and possession, importation, exportation, transit of firearms and ammunition in the country, either by citizens, residents or foreigners.</w:t>
            </w:r>
            <w:r w:rsidRPr="009F37BC">
              <w:rPr>
                <w:rStyle w:val="FootnoteReference"/>
                <w:rFonts w:ascii="Garamond" w:hAnsi="Garamond"/>
                <w:sz w:val="20"/>
                <w:szCs w:val="20"/>
              </w:rPr>
              <w:footnoteReference w:id="72"/>
            </w:r>
            <w:r w:rsidRPr="009F37BC">
              <w:rPr>
                <w:rFonts w:ascii="Garamond" w:hAnsi="Garamond"/>
                <w:sz w:val="20"/>
                <w:szCs w:val="20"/>
              </w:rPr>
              <w:t xml:space="preserve">.  </w:t>
            </w:r>
          </w:p>
        </w:tc>
      </w:tr>
      <w:tr w:rsidR="00467268" w:rsidRPr="00635354" w14:paraId="565917A3" w14:textId="77777777" w:rsidTr="009F37BC">
        <w:tc>
          <w:tcPr>
            <w:tcW w:w="2047" w:type="dxa"/>
          </w:tcPr>
          <w:p w14:paraId="0B451437"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Concession models used</w:t>
            </w:r>
          </w:p>
        </w:tc>
        <w:tc>
          <w:tcPr>
            <w:tcW w:w="6850" w:type="dxa"/>
          </w:tcPr>
          <w:p w14:paraId="7C13F600" w14:textId="1800185D"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Management contracts, concessions (BOT)</w:t>
            </w:r>
          </w:p>
          <w:p w14:paraId="512D6A6F" w14:textId="77777777"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p>
        </w:tc>
      </w:tr>
      <w:tr w:rsidR="00467268" w:rsidRPr="00635354" w14:paraId="6273875C" w14:textId="77777777" w:rsidTr="009F37BC">
        <w:tc>
          <w:tcPr>
            <w:tcW w:w="2047" w:type="dxa"/>
          </w:tcPr>
          <w:p w14:paraId="32ECB6F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Examples of concession processes</w:t>
            </w:r>
          </w:p>
        </w:tc>
        <w:tc>
          <w:tcPr>
            <w:tcW w:w="6850" w:type="dxa"/>
          </w:tcPr>
          <w:p w14:paraId="113B51C8" w14:textId="56B35351"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Tender processes: e.g. Maputo Special Reserve, Niassa Reserve, Quirimbas</w:t>
            </w:r>
          </w:p>
          <w:p w14:paraId="3E33C0AD" w14:textId="124BAA13"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Direct negotiations: Gorongoza National Park with Carr Foundation</w:t>
            </w:r>
          </w:p>
        </w:tc>
      </w:tr>
      <w:tr w:rsidR="00467268" w:rsidRPr="00635354" w14:paraId="64672EDC" w14:textId="77777777" w:rsidTr="009F37BC">
        <w:tc>
          <w:tcPr>
            <w:tcW w:w="2047" w:type="dxa"/>
          </w:tcPr>
          <w:p w14:paraId="051CBE73" w14:textId="2BBD2546"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Tourism investment guidelines in PAs</w:t>
            </w:r>
          </w:p>
        </w:tc>
        <w:tc>
          <w:tcPr>
            <w:tcW w:w="6850" w:type="dxa"/>
          </w:tcPr>
          <w:p w14:paraId="1ECF1530" w14:textId="01C80FF9" w:rsidR="00467268" w:rsidRPr="009F37BC" w:rsidRDefault="00E93B5E"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Mozambique</w:t>
            </w:r>
            <w:r w:rsidR="00467268" w:rsidRPr="009F37BC">
              <w:rPr>
                <w:rFonts w:ascii="Garamond" w:hAnsi="Garamond" w:cs="Times"/>
                <w:sz w:val="20"/>
                <w:szCs w:val="20"/>
              </w:rPr>
              <w:t xml:space="preserve"> </w:t>
            </w:r>
            <w:r w:rsidRPr="009F37BC">
              <w:rPr>
                <w:rFonts w:ascii="Garamond" w:hAnsi="Garamond" w:cs="Times"/>
                <w:sz w:val="20"/>
                <w:szCs w:val="20"/>
              </w:rPr>
              <w:t xml:space="preserve">Investment Climate Library: </w:t>
            </w:r>
            <w:r w:rsidRPr="009F37BC">
              <w:rPr>
                <w:rFonts w:ascii="Garamond" w:hAnsi="Garamond" w:cs="Times New Roman"/>
                <w:color w:val="000000"/>
                <w:sz w:val="20"/>
                <w:szCs w:val="20"/>
              </w:rPr>
              <w:t>www.tourisminvest.org</w:t>
            </w:r>
          </w:p>
          <w:p w14:paraId="5BFAC7DF" w14:textId="0D32F661" w:rsidR="00E93B5E" w:rsidRPr="009F37BC" w:rsidRDefault="00E93B5E" w:rsidP="00467268">
            <w:pPr>
              <w:widowControl w:val="0"/>
              <w:autoSpaceDE w:val="0"/>
              <w:autoSpaceDN w:val="0"/>
              <w:adjustRightInd w:val="0"/>
              <w:spacing w:before="0" w:after="0" w:line="240" w:lineRule="auto"/>
              <w:rPr>
                <w:rFonts w:ascii="Garamond" w:hAnsi="Garamond"/>
                <w:sz w:val="20"/>
                <w:szCs w:val="20"/>
              </w:rPr>
            </w:pPr>
            <w:r w:rsidRPr="009F37BC">
              <w:rPr>
                <w:rFonts w:ascii="Garamond" w:hAnsi="Garamond"/>
                <w:sz w:val="20"/>
                <w:szCs w:val="20"/>
              </w:rPr>
              <w:t>Casimiro, R. and Spenceley, A. (2012) Tourism concessions in protected areas in Mozambique: Manual for the private sector, Report USAID SPEED, 19 April 2012</w:t>
            </w:r>
          </w:p>
          <w:p w14:paraId="3AC2F614" w14:textId="344FB4AA" w:rsidR="00E93B5E" w:rsidRPr="009F37BC" w:rsidRDefault="00E93B5E" w:rsidP="00467268">
            <w:pPr>
              <w:widowControl w:val="0"/>
              <w:autoSpaceDE w:val="0"/>
              <w:autoSpaceDN w:val="0"/>
              <w:adjustRightInd w:val="0"/>
              <w:spacing w:before="0" w:after="0" w:line="240" w:lineRule="auto"/>
              <w:rPr>
                <w:rFonts w:ascii="Garamond" w:hAnsi="Garamond" w:cs="Times"/>
                <w:sz w:val="20"/>
                <w:szCs w:val="20"/>
              </w:rPr>
            </w:pPr>
          </w:p>
        </w:tc>
      </w:tr>
      <w:tr w:rsidR="00467268" w:rsidRPr="00635354" w14:paraId="33B4F0D3" w14:textId="77777777" w:rsidTr="009F37BC">
        <w:tc>
          <w:tcPr>
            <w:tcW w:w="2047" w:type="dxa"/>
          </w:tcPr>
          <w:p w14:paraId="657DA6B4"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Concession manuals and tools</w:t>
            </w:r>
          </w:p>
        </w:tc>
        <w:tc>
          <w:tcPr>
            <w:tcW w:w="6850" w:type="dxa"/>
          </w:tcPr>
          <w:p w14:paraId="1E60E741" w14:textId="77777777" w:rsidR="00E93B5E" w:rsidRPr="009F37BC" w:rsidRDefault="00E93B5E" w:rsidP="00E93B5E">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 xml:space="preserve">Mozambique Investment Climate Library: </w:t>
            </w:r>
            <w:r w:rsidRPr="009F37BC">
              <w:rPr>
                <w:rFonts w:ascii="Garamond" w:hAnsi="Garamond" w:cs="Times New Roman"/>
                <w:color w:val="000000"/>
                <w:sz w:val="20"/>
                <w:szCs w:val="20"/>
              </w:rPr>
              <w:t>www.tourisminvest.org</w:t>
            </w:r>
          </w:p>
          <w:p w14:paraId="02A8BFB4" w14:textId="0C069EB9" w:rsidR="00467268" w:rsidRPr="009F37BC" w:rsidRDefault="00467268" w:rsidP="00467268">
            <w:pPr>
              <w:widowControl w:val="0"/>
              <w:autoSpaceDE w:val="0"/>
              <w:autoSpaceDN w:val="0"/>
              <w:adjustRightInd w:val="0"/>
              <w:spacing w:before="0" w:after="0" w:line="240" w:lineRule="auto"/>
              <w:rPr>
                <w:rFonts w:ascii="Garamond" w:hAnsi="Garamond"/>
                <w:sz w:val="20"/>
                <w:szCs w:val="20"/>
              </w:rPr>
            </w:pPr>
            <w:r w:rsidRPr="009F37BC">
              <w:rPr>
                <w:rFonts w:ascii="Garamond" w:hAnsi="Garamond"/>
                <w:sz w:val="20"/>
                <w:szCs w:val="20"/>
              </w:rPr>
              <w:t>Casimiro, R. and Spenceley, A. (2012) Tourism concessions in protected areas in Mozambique: Manual for the private sector, Report USAID SPEED, 19 April 2012</w:t>
            </w:r>
          </w:p>
          <w:p w14:paraId="2071401A" w14:textId="7503DAB2"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sz w:val="20"/>
                <w:szCs w:val="20"/>
                <w:highlight w:val="yellow"/>
              </w:rPr>
              <w:t>Public sector manual? Training manual?</w:t>
            </w:r>
          </w:p>
        </w:tc>
      </w:tr>
      <w:tr w:rsidR="00467268" w:rsidRPr="00635354" w14:paraId="18C9C8E5" w14:textId="77777777" w:rsidTr="009F37BC">
        <w:tc>
          <w:tcPr>
            <w:tcW w:w="2047" w:type="dxa"/>
          </w:tcPr>
          <w:p w14:paraId="3F879E27"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Highly effective concession processes</w:t>
            </w:r>
          </w:p>
        </w:tc>
        <w:tc>
          <w:tcPr>
            <w:tcW w:w="6850" w:type="dxa"/>
          </w:tcPr>
          <w:p w14:paraId="50CB0D4B" w14:textId="7722AFFE"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 xml:space="preserve">Concessioning process for Maputo Special Reserve, supported by the IFC in partnership with MITUR – regarding the process and materials created. </w:t>
            </w:r>
          </w:p>
        </w:tc>
      </w:tr>
      <w:tr w:rsidR="00467268" w:rsidRPr="00635354" w14:paraId="4A336890" w14:textId="77777777" w:rsidTr="009F37BC">
        <w:tc>
          <w:tcPr>
            <w:tcW w:w="2047" w:type="dxa"/>
          </w:tcPr>
          <w:p w14:paraId="102CBA15"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Lessons learned</w:t>
            </w:r>
          </w:p>
        </w:tc>
        <w:tc>
          <w:tcPr>
            <w:tcW w:w="6850" w:type="dxa"/>
          </w:tcPr>
          <w:p w14:paraId="1EEB76A5" w14:textId="08C68B6D" w:rsidR="00467268" w:rsidRPr="009F37BC" w:rsidRDefault="00E93B5E"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Various case studies on Maputo Special Reserve concessions</w:t>
            </w:r>
            <w:r w:rsidR="00635354" w:rsidRPr="009F37BC">
              <w:rPr>
                <w:rFonts w:ascii="Garamond" w:hAnsi="Garamond" w:cs="Times"/>
                <w:sz w:val="20"/>
                <w:szCs w:val="20"/>
              </w:rPr>
              <w:t xml:space="preserve"> (see links)</w:t>
            </w:r>
          </w:p>
        </w:tc>
      </w:tr>
    </w:tbl>
    <w:p w14:paraId="313F473D" w14:textId="77777777" w:rsidR="00467268" w:rsidRPr="00635354" w:rsidRDefault="00467268" w:rsidP="00467268">
      <w:pPr>
        <w:spacing w:before="0" w:after="0" w:line="240" w:lineRule="auto"/>
        <w:rPr>
          <w:rFonts w:ascii="Garamond" w:hAnsi="Garamond"/>
          <w:b/>
          <w:u w:val="single"/>
        </w:rPr>
      </w:pPr>
    </w:p>
    <w:p w14:paraId="7C629A2D" w14:textId="639CAA5A" w:rsidR="00D60281" w:rsidRPr="00635354" w:rsidRDefault="00467268" w:rsidP="00D60281">
      <w:pPr>
        <w:widowControl w:val="0"/>
        <w:autoSpaceDE w:val="0"/>
        <w:autoSpaceDN w:val="0"/>
        <w:adjustRightInd w:val="0"/>
        <w:spacing w:after="240"/>
        <w:rPr>
          <w:rFonts w:ascii="Garamond" w:hAnsi="Garamond" w:cs="Times"/>
          <w:b/>
        </w:rPr>
      </w:pPr>
      <w:r w:rsidRPr="00635354">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D60281" w:rsidRPr="00635354" w14:paraId="6FD62B1D" w14:textId="77777777" w:rsidTr="004F2352">
        <w:tc>
          <w:tcPr>
            <w:tcW w:w="2093" w:type="dxa"/>
          </w:tcPr>
          <w:p w14:paraId="37B38498"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International airports</w:t>
            </w:r>
          </w:p>
          <w:p w14:paraId="7CF298F3"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01E2AB66"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Mozambique has five international airports at Maputo, Beira, Nampula, Pemba and Tete. Maputo International Airport is situated 3 km northwest of central Maputo and is Mozambique's largest airport and the centre for LAM Mozambique Airlines. The airport has recently been expanded and modernised to international standards. International airlines servicing this airport include TAP Portugal and SAA.</w:t>
            </w:r>
          </w:p>
        </w:tc>
      </w:tr>
      <w:tr w:rsidR="00D60281" w:rsidRPr="00635354" w14:paraId="0D6C879A" w14:textId="77777777" w:rsidTr="004F2352">
        <w:tc>
          <w:tcPr>
            <w:tcW w:w="2093" w:type="dxa"/>
          </w:tcPr>
          <w:p w14:paraId="0640E72F"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National carrier</w:t>
            </w:r>
          </w:p>
        </w:tc>
        <w:tc>
          <w:tcPr>
            <w:tcW w:w="6763" w:type="dxa"/>
          </w:tcPr>
          <w:p w14:paraId="02F1B2FF"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Linhas Aéreas de Moçambique (LAM)</w:t>
            </w:r>
          </w:p>
        </w:tc>
      </w:tr>
      <w:tr w:rsidR="00D60281" w:rsidRPr="00635354" w14:paraId="3993EE9A" w14:textId="77777777" w:rsidTr="004F2352">
        <w:tc>
          <w:tcPr>
            <w:tcW w:w="2093" w:type="dxa"/>
          </w:tcPr>
          <w:p w14:paraId="179AE3CF"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Internal transport</w:t>
            </w:r>
          </w:p>
        </w:tc>
        <w:tc>
          <w:tcPr>
            <w:tcW w:w="6763" w:type="dxa"/>
          </w:tcPr>
          <w:p w14:paraId="2C2243E8"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LAM runs regular internal flights between Maputo and Edge, Inhambane, Vilanculos, Chimoio, Zambezia, Tete, Nampula, Lichinga and Pemba. The roads along the main routes going north from Maputo are in good condition and self-drive holiday options are available.</w:t>
            </w:r>
          </w:p>
        </w:tc>
      </w:tr>
      <w:tr w:rsidR="00D60281" w:rsidRPr="00635354" w14:paraId="047B74A6" w14:textId="77777777" w:rsidTr="004F2352">
        <w:tc>
          <w:tcPr>
            <w:tcW w:w="2093" w:type="dxa"/>
          </w:tcPr>
          <w:p w14:paraId="7B35632E"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Communications availability</w:t>
            </w:r>
          </w:p>
          <w:p w14:paraId="4A2AE8BA"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6B2EFBB6"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Most telecommunication access in Mozambique is cellular. There are currently two cellular service providers operating in the country namely Vodacom Mozambique and mCel. The landing of two international submarine fibre optic cables (Seacom and EASSy) has reduced the cost of bandwidth at a retail level. Cross-platform competition, with active ADSL, cable broadband, WiMAX, 3G mobile and limited Fibre-to-the-Home (FttH) services are available.</w:t>
            </w:r>
          </w:p>
        </w:tc>
      </w:tr>
      <w:tr w:rsidR="00D60281" w:rsidRPr="00635354" w14:paraId="29B29829" w14:textId="77777777" w:rsidTr="004F2352">
        <w:tc>
          <w:tcPr>
            <w:tcW w:w="2093" w:type="dxa"/>
          </w:tcPr>
          <w:p w14:paraId="0F36BDC7"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Corporate tax rate</w:t>
            </w:r>
          </w:p>
        </w:tc>
        <w:tc>
          <w:tcPr>
            <w:tcW w:w="6763" w:type="dxa"/>
          </w:tcPr>
          <w:p w14:paraId="421B3AFB"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Standard rate of 32%.</w:t>
            </w:r>
          </w:p>
        </w:tc>
      </w:tr>
      <w:tr w:rsidR="00D60281" w:rsidRPr="00635354" w14:paraId="6EE18721" w14:textId="77777777" w:rsidTr="004F2352">
        <w:tc>
          <w:tcPr>
            <w:tcW w:w="2093" w:type="dxa"/>
          </w:tcPr>
          <w:p w14:paraId="3F351E80" w14:textId="0D7C1953"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Rules regarding repatriation of profits and dividends</w:t>
            </w:r>
          </w:p>
        </w:tc>
        <w:tc>
          <w:tcPr>
            <w:tcW w:w="6763" w:type="dxa"/>
          </w:tcPr>
          <w:p w14:paraId="73DFE1AC"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Repatriation of profits from Mozambique is allowed.</w:t>
            </w:r>
          </w:p>
        </w:tc>
      </w:tr>
      <w:tr w:rsidR="00D60281" w:rsidRPr="00635354" w14:paraId="40A5CA42" w14:textId="77777777" w:rsidTr="004F2352">
        <w:tc>
          <w:tcPr>
            <w:tcW w:w="2093" w:type="dxa"/>
          </w:tcPr>
          <w:p w14:paraId="5D0A02BC"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Investment Incentives</w:t>
            </w:r>
          </w:p>
        </w:tc>
        <w:tc>
          <w:tcPr>
            <w:tcW w:w="6763" w:type="dxa"/>
          </w:tcPr>
          <w:p w14:paraId="6417C8FA"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Benefits on importing of inputs for investment projects (construction material, hotel equipment, etc.) includes exemption from customs duties.\</w:t>
            </w:r>
          </w:p>
          <w:p w14:paraId="7F86011F"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Investment tax credits and the reduction or exemption of corporate tax are available under the Fiscal Benefits Code. These are granted according to the location of the investment.</w:t>
            </w:r>
          </w:p>
          <w:p w14:paraId="52E60E74"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Modernisation and introduction of new technology. </w:t>
            </w:r>
          </w:p>
          <w:p w14:paraId="5EC54C49"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Professional training. </w:t>
            </w:r>
          </w:p>
          <w:p w14:paraId="520C65AF"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Many specific benefits are offered in the Special Economic Zones.</w:t>
            </w:r>
          </w:p>
        </w:tc>
      </w:tr>
      <w:tr w:rsidR="00D60281" w:rsidRPr="00635354" w14:paraId="777B517C" w14:textId="77777777" w:rsidTr="004F2352">
        <w:tc>
          <w:tcPr>
            <w:tcW w:w="2093" w:type="dxa"/>
          </w:tcPr>
          <w:p w14:paraId="334D1E18"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Rules related to requirements for local partners</w:t>
            </w:r>
          </w:p>
        </w:tc>
        <w:tc>
          <w:tcPr>
            <w:tcW w:w="6763" w:type="dxa"/>
          </w:tcPr>
          <w:p w14:paraId="30884993"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PPP and other partnership models are allowed in Mozambique. </w:t>
            </w:r>
          </w:p>
        </w:tc>
      </w:tr>
      <w:tr w:rsidR="00D60281" w:rsidRPr="00635354" w14:paraId="2F00C284" w14:textId="77777777" w:rsidTr="004F2352">
        <w:tc>
          <w:tcPr>
            <w:tcW w:w="2093" w:type="dxa"/>
          </w:tcPr>
          <w:p w14:paraId="50F1EE05"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Rules regarding land ownership by foreign companies</w:t>
            </w:r>
          </w:p>
        </w:tc>
        <w:tc>
          <w:tcPr>
            <w:tcW w:w="6763" w:type="dxa"/>
          </w:tcPr>
          <w:p w14:paraId="6C4505EA"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Land is the property of the State and can be leased to any investor.</w:t>
            </w:r>
          </w:p>
        </w:tc>
      </w:tr>
      <w:tr w:rsidR="00D60281" w:rsidRPr="00635354" w14:paraId="795550E2" w14:textId="77777777" w:rsidTr="004F2352">
        <w:tc>
          <w:tcPr>
            <w:tcW w:w="2093" w:type="dxa"/>
          </w:tcPr>
          <w:p w14:paraId="4B3319FE"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Availability of work permits for expatriate staff</w:t>
            </w:r>
          </w:p>
        </w:tc>
        <w:tc>
          <w:tcPr>
            <w:tcW w:w="6763" w:type="dxa"/>
          </w:tcPr>
          <w:p w14:paraId="02790F87"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Under Mozambican legislation, work permits are subdivided into either a Communication of Work (under the quota) or an Authorisation for Work (outside the quota).</w:t>
            </w:r>
          </w:p>
        </w:tc>
      </w:tr>
      <w:tr w:rsidR="00D60281" w:rsidRPr="00635354" w14:paraId="61A211AF" w14:textId="77777777" w:rsidTr="004F2352">
        <w:tc>
          <w:tcPr>
            <w:tcW w:w="2093" w:type="dxa"/>
          </w:tcPr>
          <w:p w14:paraId="5D0892A6" w14:textId="6CE43F72"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Investment guarantees</w:t>
            </w:r>
          </w:p>
        </w:tc>
        <w:tc>
          <w:tcPr>
            <w:tcW w:w="6763" w:type="dxa"/>
          </w:tcPr>
          <w:p w14:paraId="2CEED65A"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Protection of property rights Repatriation of profits</w:t>
            </w:r>
          </w:p>
        </w:tc>
      </w:tr>
      <w:tr w:rsidR="00D60281" w:rsidRPr="00635354" w14:paraId="39F9C292" w14:textId="77777777" w:rsidTr="004F2352">
        <w:tc>
          <w:tcPr>
            <w:tcW w:w="2093" w:type="dxa"/>
          </w:tcPr>
          <w:p w14:paraId="218D625C"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Restrictions on foreign investment</w:t>
            </w:r>
          </w:p>
        </w:tc>
        <w:tc>
          <w:tcPr>
            <w:tcW w:w="6763" w:type="dxa"/>
          </w:tcPr>
          <w:p w14:paraId="48031998" w14:textId="77777777" w:rsidR="00D60281" w:rsidRPr="009F37BC" w:rsidRDefault="00D60281" w:rsidP="00D60281">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Foreign investment is not allowed under MT 2,5 million (under US$100 000).</w:t>
            </w:r>
          </w:p>
        </w:tc>
      </w:tr>
    </w:tbl>
    <w:p w14:paraId="3DAA3986" w14:textId="77777777" w:rsidR="00D60281" w:rsidRPr="00635354" w:rsidRDefault="00D60281" w:rsidP="00D60281">
      <w:pPr>
        <w:spacing w:before="0" w:after="0" w:line="240" w:lineRule="auto"/>
        <w:jc w:val="left"/>
        <w:rPr>
          <w:rFonts w:ascii="Garamond" w:hAnsi="Garamond"/>
        </w:rPr>
      </w:pPr>
      <w:r w:rsidRPr="00635354">
        <w:rPr>
          <w:rFonts w:ascii="Garamond" w:hAnsi="Garamond"/>
        </w:rPr>
        <w:t>Source: RETOSA 2014, pp48-49</w:t>
      </w:r>
    </w:p>
    <w:p w14:paraId="2064D8BE" w14:textId="77777777" w:rsidR="00F83987" w:rsidRPr="006311F5" w:rsidRDefault="00F83987" w:rsidP="00D60281">
      <w:pPr>
        <w:spacing w:before="0" w:after="0" w:line="240" w:lineRule="auto"/>
        <w:jc w:val="left"/>
        <w:rPr>
          <w:rFonts w:ascii="Garamond" w:hAnsi="Garamond"/>
        </w:rPr>
      </w:pPr>
    </w:p>
    <w:p w14:paraId="23FFC91C" w14:textId="77777777" w:rsidR="00F83987" w:rsidRPr="006311F5" w:rsidRDefault="00F83987" w:rsidP="00F83987">
      <w:pPr>
        <w:spacing w:line="240" w:lineRule="auto"/>
        <w:rPr>
          <w:rFonts w:ascii="Garamond" w:hAnsi="Garamond"/>
          <w:sz w:val="24"/>
          <w:szCs w:val="24"/>
        </w:rPr>
      </w:pPr>
    </w:p>
    <w:p w14:paraId="26D2F2F7" w14:textId="77777777" w:rsidR="00F83987" w:rsidRPr="006311F5" w:rsidRDefault="00F83987" w:rsidP="00F83987">
      <w:pPr>
        <w:pStyle w:val="Heading3"/>
        <w:rPr>
          <w:rFonts w:ascii="Garamond" w:hAnsi="Garamond"/>
        </w:rPr>
      </w:pPr>
      <w:bookmarkStart w:id="92" w:name="_Toc269636367"/>
      <w:r w:rsidRPr="006311F5">
        <w:rPr>
          <w:rFonts w:ascii="Garamond" w:hAnsi="Garamond"/>
        </w:rPr>
        <w:t>Namibia</w:t>
      </w:r>
      <w:bookmarkEnd w:id="92"/>
    </w:p>
    <w:p w14:paraId="05BFC5A0" w14:textId="75759455" w:rsidR="00F83987" w:rsidRPr="00635354" w:rsidRDefault="00635354" w:rsidP="00F83987">
      <w:pPr>
        <w:widowControl w:val="0"/>
        <w:autoSpaceDE w:val="0"/>
        <w:autoSpaceDN w:val="0"/>
        <w:adjustRightInd w:val="0"/>
        <w:spacing w:after="240"/>
        <w:rPr>
          <w:rFonts w:ascii="Garamond" w:hAnsi="Garamond" w:cs="Times"/>
          <w:b/>
        </w:rPr>
      </w:pPr>
      <w:r w:rsidRPr="00635354">
        <w:rPr>
          <w:rFonts w:ascii="Garamond" w:hAnsi="Garamond" w:cs="Times"/>
          <w:b/>
        </w:rPr>
        <w:t>Concession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7"/>
        <w:gridCol w:w="6850"/>
      </w:tblGrid>
      <w:tr w:rsidR="00635354" w:rsidRPr="002851F4" w14:paraId="534B5FC1" w14:textId="77777777" w:rsidTr="00482CB5">
        <w:tc>
          <w:tcPr>
            <w:tcW w:w="2047" w:type="dxa"/>
            <w:tcMar>
              <w:top w:w="0" w:type="dxa"/>
              <w:left w:w="108" w:type="dxa"/>
              <w:bottom w:w="0" w:type="dxa"/>
              <w:right w:w="108" w:type="dxa"/>
            </w:tcMar>
            <w:hideMark/>
          </w:tcPr>
          <w:p w14:paraId="47DE7E03"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Relevant policies, strategies and legislation</w:t>
            </w:r>
          </w:p>
        </w:tc>
        <w:tc>
          <w:tcPr>
            <w:tcW w:w="6850" w:type="dxa"/>
            <w:tcMar>
              <w:top w:w="0" w:type="dxa"/>
              <w:left w:w="108" w:type="dxa"/>
              <w:bottom w:w="0" w:type="dxa"/>
              <w:right w:w="108" w:type="dxa"/>
            </w:tcMar>
            <w:hideMark/>
          </w:tcPr>
          <w:p w14:paraId="397A0F76" w14:textId="774B439D"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Policy</w:t>
            </w:r>
            <w:r w:rsidR="008432EB" w:rsidRPr="009F37BC">
              <w:rPr>
                <w:rFonts w:ascii="Garamond" w:hAnsi="Garamond"/>
                <w:sz w:val="20"/>
                <w:szCs w:val="20"/>
              </w:rPr>
              <w:t xml:space="preserve"> (2007)</w:t>
            </w:r>
          </w:p>
          <w:p w14:paraId="6E416C11"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Tourism Policy</w:t>
            </w:r>
          </w:p>
          <w:p w14:paraId="1A65ED40" w14:textId="6CD97A9B"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Draft Parks and Wildlife Management Bill</w:t>
            </w:r>
          </w:p>
        </w:tc>
      </w:tr>
      <w:tr w:rsidR="00635354" w:rsidRPr="002851F4" w14:paraId="5AF3F8FE" w14:textId="77777777" w:rsidTr="00482CB5">
        <w:tc>
          <w:tcPr>
            <w:tcW w:w="2047" w:type="dxa"/>
            <w:tcMar>
              <w:top w:w="0" w:type="dxa"/>
              <w:left w:w="108" w:type="dxa"/>
              <w:bottom w:w="0" w:type="dxa"/>
              <w:right w:w="108" w:type="dxa"/>
            </w:tcMar>
            <w:hideMark/>
          </w:tcPr>
          <w:p w14:paraId="0DA54F1A" w14:textId="5EDBA768"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models used</w:t>
            </w:r>
          </w:p>
        </w:tc>
        <w:tc>
          <w:tcPr>
            <w:tcW w:w="6850" w:type="dxa"/>
            <w:tcMar>
              <w:top w:w="0" w:type="dxa"/>
              <w:left w:w="108" w:type="dxa"/>
              <w:bottom w:w="0" w:type="dxa"/>
              <w:right w:w="108" w:type="dxa"/>
            </w:tcMar>
            <w:hideMark/>
          </w:tcPr>
          <w:p w14:paraId="1810E37D"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 Build operate transfer; rehabilitate operate transfer, leases</w:t>
            </w:r>
          </w:p>
        </w:tc>
      </w:tr>
      <w:tr w:rsidR="00635354" w:rsidRPr="002851F4" w14:paraId="1307D91E" w14:textId="77777777" w:rsidTr="00482CB5">
        <w:tc>
          <w:tcPr>
            <w:tcW w:w="2047" w:type="dxa"/>
            <w:tcMar>
              <w:top w:w="0" w:type="dxa"/>
              <w:left w:w="108" w:type="dxa"/>
              <w:bottom w:w="0" w:type="dxa"/>
              <w:right w:w="108" w:type="dxa"/>
            </w:tcMar>
            <w:hideMark/>
          </w:tcPr>
          <w:p w14:paraId="5CA40628"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Examples of concession processes</w:t>
            </w:r>
          </w:p>
        </w:tc>
        <w:tc>
          <w:tcPr>
            <w:tcW w:w="6850" w:type="dxa"/>
            <w:tcMar>
              <w:top w:w="0" w:type="dxa"/>
              <w:left w:w="108" w:type="dxa"/>
              <w:bottom w:w="0" w:type="dxa"/>
              <w:right w:w="108" w:type="dxa"/>
            </w:tcMar>
            <w:hideMark/>
          </w:tcPr>
          <w:p w14:paraId="0FA6F4BE"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Tender Process/Auction/Direct award by Minister</w:t>
            </w:r>
          </w:p>
        </w:tc>
      </w:tr>
      <w:tr w:rsidR="00635354" w:rsidRPr="002851F4" w14:paraId="18D9C6A3" w14:textId="77777777" w:rsidTr="00482CB5">
        <w:tc>
          <w:tcPr>
            <w:tcW w:w="2047" w:type="dxa"/>
            <w:tcMar>
              <w:top w:w="0" w:type="dxa"/>
              <w:left w:w="108" w:type="dxa"/>
              <w:bottom w:w="0" w:type="dxa"/>
              <w:right w:w="108" w:type="dxa"/>
            </w:tcMar>
            <w:hideMark/>
          </w:tcPr>
          <w:p w14:paraId="2F21214D"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Tourism investment guidelines in PAs</w:t>
            </w:r>
          </w:p>
        </w:tc>
        <w:tc>
          <w:tcPr>
            <w:tcW w:w="6850" w:type="dxa"/>
            <w:tcMar>
              <w:top w:w="0" w:type="dxa"/>
              <w:left w:w="108" w:type="dxa"/>
              <w:bottom w:w="0" w:type="dxa"/>
              <w:right w:w="108" w:type="dxa"/>
            </w:tcMar>
            <w:hideMark/>
          </w:tcPr>
          <w:p w14:paraId="74A94DBA"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None, only Policy on Concessions and guidelines on applying for concessions</w:t>
            </w:r>
          </w:p>
          <w:p w14:paraId="7656E025"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Namibia Tourism Investors’ Prospectus (2012)</w:t>
            </w:r>
          </w:p>
          <w:p w14:paraId="2500556C" w14:textId="371BA80B" w:rsidR="00482CB5" w:rsidRPr="009F37BC" w:rsidRDefault="00482CB5" w:rsidP="008432EB">
            <w:pPr>
              <w:spacing w:before="0" w:after="0" w:line="240" w:lineRule="auto"/>
              <w:rPr>
                <w:rFonts w:ascii="Garamond" w:hAnsi="Garamond"/>
                <w:sz w:val="20"/>
                <w:szCs w:val="20"/>
              </w:rPr>
            </w:pPr>
            <w:r w:rsidRPr="009F37BC">
              <w:rPr>
                <w:rFonts w:ascii="Garamond" w:hAnsi="Garamond"/>
                <w:sz w:val="20"/>
                <w:szCs w:val="20"/>
              </w:rPr>
              <w:t>Guidelines for management of conservancies and standard operating procedures (2013)</w:t>
            </w:r>
          </w:p>
        </w:tc>
      </w:tr>
      <w:tr w:rsidR="00635354" w:rsidRPr="002851F4" w14:paraId="6C1C1FBF" w14:textId="77777777" w:rsidTr="00482CB5">
        <w:tc>
          <w:tcPr>
            <w:tcW w:w="2047" w:type="dxa"/>
            <w:tcMar>
              <w:top w:w="0" w:type="dxa"/>
              <w:left w:w="108" w:type="dxa"/>
              <w:bottom w:w="0" w:type="dxa"/>
              <w:right w:w="108" w:type="dxa"/>
            </w:tcMar>
            <w:hideMark/>
          </w:tcPr>
          <w:p w14:paraId="75A609BE"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manuals and tools</w:t>
            </w:r>
          </w:p>
        </w:tc>
        <w:tc>
          <w:tcPr>
            <w:tcW w:w="6850" w:type="dxa"/>
            <w:tcMar>
              <w:top w:w="0" w:type="dxa"/>
              <w:left w:w="108" w:type="dxa"/>
              <w:bottom w:w="0" w:type="dxa"/>
              <w:right w:w="108" w:type="dxa"/>
            </w:tcMar>
            <w:hideMark/>
          </w:tcPr>
          <w:p w14:paraId="4AF67610"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None</w:t>
            </w:r>
          </w:p>
        </w:tc>
      </w:tr>
      <w:tr w:rsidR="00635354" w:rsidRPr="002851F4" w14:paraId="79BB174C" w14:textId="77777777" w:rsidTr="00482CB5">
        <w:tc>
          <w:tcPr>
            <w:tcW w:w="2047" w:type="dxa"/>
            <w:tcMar>
              <w:top w:w="0" w:type="dxa"/>
              <w:left w:w="108" w:type="dxa"/>
              <w:bottom w:w="0" w:type="dxa"/>
              <w:right w:w="108" w:type="dxa"/>
            </w:tcMar>
            <w:hideMark/>
          </w:tcPr>
          <w:p w14:paraId="0DFADDB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Highly effective concession processes</w:t>
            </w:r>
          </w:p>
        </w:tc>
        <w:tc>
          <w:tcPr>
            <w:tcW w:w="6850" w:type="dxa"/>
            <w:tcMar>
              <w:top w:w="0" w:type="dxa"/>
              <w:left w:w="108" w:type="dxa"/>
              <w:bottom w:w="0" w:type="dxa"/>
              <w:right w:w="108" w:type="dxa"/>
            </w:tcMar>
            <w:hideMark/>
          </w:tcPr>
          <w:p w14:paraId="0AE7CD4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Policy implementation, tender Processes, Concession Committee operations</w:t>
            </w:r>
          </w:p>
        </w:tc>
      </w:tr>
      <w:tr w:rsidR="00635354" w:rsidRPr="002851F4" w14:paraId="36EE77C5" w14:textId="77777777" w:rsidTr="00482CB5">
        <w:tc>
          <w:tcPr>
            <w:tcW w:w="2047" w:type="dxa"/>
            <w:tcMar>
              <w:top w:w="0" w:type="dxa"/>
              <w:left w:w="108" w:type="dxa"/>
              <w:bottom w:w="0" w:type="dxa"/>
              <w:right w:w="108" w:type="dxa"/>
            </w:tcMar>
            <w:hideMark/>
          </w:tcPr>
          <w:p w14:paraId="1979BE24"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Lessons learned</w:t>
            </w:r>
          </w:p>
        </w:tc>
        <w:tc>
          <w:tcPr>
            <w:tcW w:w="6850" w:type="dxa"/>
            <w:tcMar>
              <w:top w:w="0" w:type="dxa"/>
              <w:left w:w="108" w:type="dxa"/>
              <w:bottom w:w="0" w:type="dxa"/>
              <w:right w:w="108" w:type="dxa"/>
            </w:tcMar>
            <w:hideMark/>
          </w:tcPr>
          <w:p w14:paraId="4506F4E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Disputes over direct awards, land tenure vs concessions, concession management, need for a strong concession Unit or Directorate, Legal aspects of concessions</w:t>
            </w:r>
          </w:p>
        </w:tc>
      </w:tr>
    </w:tbl>
    <w:p w14:paraId="58E0EC85" w14:textId="2BB23BE4" w:rsidR="00635354" w:rsidRPr="00E25E7C" w:rsidRDefault="00635354" w:rsidP="00F83987">
      <w:pPr>
        <w:widowControl w:val="0"/>
        <w:autoSpaceDE w:val="0"/>
        <w:autoSpaceDN w:val="0"/>
        <w:adjustRightInd w:val="0"/>
        <w:spacing w:after="240"/>
        <w:rPr>
          <w:rFonts w:ascii="Garamond" w:hAnsi="Garamond" w:cs="Times"/>
          <w:b/>
        </w:rPr>
      </w:pPr>
      <w:r w:rsidRPr="00E25E7C">
        <w:rPr>
          <w:rFonts w:ascii="Garamond" w:hAnsi="Garamond" w:cs="Times"/>
          <w:b/>
        </w:rPr>
        <w:t>Investor information</w:t>
      </w:r>
    </w:p>
    <w:tbl>
      <w:tblPr>
        <w:tblStyle w:val="TableGrid"/>
        <w:tblW w:w="8897" w:type="dxa"/>
        <w:tblLayout w:type="fixed"/>
        <w:tblLook w:val="04A0" w:firstRow="1" w:lastRow="0" w:firstColumn="1" w:lastColumn="0" w:noHBand="0" w:noVBand="1"/>
      </w:tblPr>
      <w:tblGrid>
        <w:gridCol w:w="1951"/>
        <w:gridCol w:w="6946"/>
      </w:tblGrid>
      <w:tr w:rsidR="00F83987" w:rsidRPr="006311F5" w14:paraId="6355E357" w14:textId="77777777" w:rsidTr="00E25E7C">
        <w:tc>
          <w:tcPr>
            <w:tcW w:w="1951" w:type="dxa"/>
          </w:tcPr>
          <w:p w14:paraId="7C864759"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International airports</w:t>
            </w:r>
          </w:p>
          <w:p w14:paraId="466C0C2E" w14:textId="77777777" w:rsidR="00F83987" w:rsidRPr="009F37BC" w:rsidRDefault="00F83987" w:rsidP="0055487D">
            <w:pPr>
              <w:spacing w:before="0" w:after="0" w:line="240" w:lineRule="auto"/>
              <w:rPr>
                <w:rFonts w:ascii="Garamond" w:hAnsi="Garamond"/>
                <w:sz w:val="20"/>
                <w:szCs w:val="20"/>
              </w:rPr>
            </w:pPr>
          </w:p>
        </w:tc>
        <w:tc>
          <w:tcPr>
            <w:tcW w:w="6946" w:type="dxa"/>
          </w:tcPr>
          <w:p w14:paraId="3A1C1B73" w14:textId="72DC12CE" w:rsidR="00F83987" w:rsidRPr="009F37BC" w:rsidRDefault="00635354" w:rsidP="0055487D">
            <w:pPr>
              <w:spacing w:before="0" w:after="0" w:line="240" w:lineRule="auto"/>
              <w:rPr>
                <w:rFonts w:ascii="Garamond" w:hAnsi="Garamond"/>
                <w:sz w:val="20"/>
                <w:szCs w:val="20"/>
              </w:rPr>
            </w:pPr>
            <w:r w:rsidRPr="009F37BC">
              <w:rPr>
                <w:rFonts w:ascii="Garamond" w:hAnsi="Garamond"/>
                <w:sz w:val="20"/>
                <w:szCs w:val="20"/>
              </w:rPr>
              <w:t>Hosea Kutako International Airport, Walvis Bay, Eros Airport</w:t>
            </w:r>
          </w:p>
        </w:tc>
      </w:tr>
      <w:tr w:rsidR="00F83987" w:rsidRPr="006311F5" w14:paraId="7F9ECF3C" w14:textId="77777777" w:rsidTr="00E25E7C">
        <w:tc>
          <w:tcPr>
            <w:tcW w:w="1951" w:type="dxa"/>
          </w:tcPr>
          <w:p w14:paraId="70FF754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National carrier</w:t>
            </w:r>
          </w:p>
        </w:tc>
        <w:tc>
          <w:tcPr>
            <w:tcW w:w="6946" w:type="dxa"/>
          </w:tcPr>
          <w:p w14:paraId="1342AACA"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w:t>
            </w:r>
          </w:p>
        </w:tc>
      </w:tr>
      <w:tr w:rsidR="00F83987" w:rsidRPr="006311F5" w14:paraId="2AB1B8CB" w14:textId="77777777" w:rsidTr="009F37BC">
        <w:trPr>
          <w:trHeight w:val="1185"/>
        </w:trPr>
        <w:tc>
          <w:tcPr>
            <w:tcW w:w="1951" w:type="dxa"/>
          </w:tcPr>
          <w:p w14:paraId="0A81386C"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Internal transport</w:t>
            </w:r>
          </w:p>
        </w:tc>
        <w:tc>
          <w:tcPr>
            <w:tcW w:w="6946" w:type="dxa"/>
          </w:tcPr>
          <w:p w14:paraId="5C9ED20B" w14:textId="77777777" w:rsidR="00F83987"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45 Airports and Airstrips</w:t>
            </w:r>
          </w:p>
          <w:p w14:paraId="4D0CE40F" w14:textId="0E7CBA31" w:rsidR="002937B6" w:rsidRPr="009F37BC" w:rsidRDefault="002937B6" w:rsidP="008432EB">
            <w:pPr>
              <w:spacing w:before="0" w:after="0" w:line="240" w:lineRule="auto"/>
              <w:rPr>
                <w:rFonts w:ascii="Garamond" w:hAnsi="Garamond" w:cs="Arial"/>
                <w:sz w:val="20"/>
                <w:szCs w:val="20"/>
                <w:lang w:eastAsia="zh-CN"/>
              </w:rPr>
            </w:pPr>
            <w:r w:rsidRPr="009F37BC">
              <w:rPr>
                <w:rFonts w:ascii="Garamond" w:hAnsi="Garamond" w:cs="Arial"/>
                <w:sz w:val="20"/>
                <w:szCs w:val="20"/>
                <w:lang w:eastAsia="zh-CN"/>
              </w:rPr>
              <w:t xml:space="preserve">126 airports and airstrips (108 unpaved but in good conditions). The rail network covers a total of 2,626 km. </w:t>
            </w:r>
            <w:r w:rsidR="00D233F0">
              <w:rPr>
                <w:rFonts w:ascii="Garamond" w:hAnsi="Garamond" w:cs="Arial"/>
                <w:sz w:val="20"/>
                <w:szCs w:val="20"/>
                <w:lang w:eastAsia="zh-CN"/>
              </w:rPr>
              <w:t xml:space="preserve">Intra-city and inter-city public transport is available in major urban areas. Taxis and airport transfer shuttles are available. </w:t>
            </w:r>
          </w:p>
          <w:tbl>
            <w:tblPr>
              <w:tblW w:w="9590" w:type="dxa"/>
              <w:tblCellSpacing w:w="0" w:type="dxa"/>
              <w:shd w:val="clear" w:color="auto" w:fill="FFFFFF"/>
              <w:tblLayout w:type="fixed"/>
              <w:tblCellMar>
                <w:left w:w="0" w:type="dxa"/>
                <w:right w:w="0" w:type="dxa"/>
              </w:tblCellMar>
              <w:tblLook w:val="04A0" w:firstRow="1" w:lastRow="0" w:firstColumn="1" w:lastColumn="0" w:noHBand="0" w:noVBand="1"/>
            </w:tblPr>
            <w:tblGrid>
              <w:gridCol w:w="9570"/>
              <w:gridCol w:w="20"/>
            </w:tblGrid>
            <w:tr w:rsidR="002937B6" w:rsidRPr="009F37BC" w14:paraId="6403D145" w14:textId="77777777" w:rsidTr="00E25E7C">
              <w:trPr>
                <w:trHeight w:val="300"/>
                <w:tblCellSpacing w:w="0" w:type="dxa"/>
              </w:trPr>
              <w:tc>
                <w:tcPr>
                  <w:tcW w:w="9570" w:type="dxa"/>
                  <w:shd w:val="clear" w:color="auto" w:fill="FFFFFF"/>
                  <w:vAlign w:val="center"/>
                  <w:hideMark/>
                </w:tcPr>
                <w:p w14:paraId="5012BB25" w14:textId="2BEF9874" w:rsidR="002937B6" w:rsidRPr="009F37BC" w:rsidRDefault="002937B6" w:rsidP="008432EB">
                  <w:pPr>
                    <w:spacing w:before="0" w:after="0" w:line="240" w:lineRule="auto"/>
                    <w:rPr>
                      <w:rFonts w:ascii="Garamond" w:eastAsia="SimSun" w:hAnsi="Garamond" w:cs="Arial"/>
                      <w:spacing w:val="15"/>
                      <w:sz w:val="20"/>
                      <w:szCs w:val="20"/>
                      <w:lang w:eastAsia="zh-CN"/>
                    </w:rPr>
                  </w:pPr>
                </w:p>
              </w:tc>
              <w:tc>
                <w:tcPr>
                  <w:tcW w:w="20" w:type="dxa"/>
                  <w:shd w:val="clear" w:color="auto" w:fill="FFFFFF"/>
                  <w:vAlign w:val="center"/>
                  <w:hideMark/>
                </w:tcPr>
                <w:p w14:paraId="79A25780" w14:textId="77777777" w:rsidR="002937B6" w:rsidRPr="009F37BC" w:rsidRDefault="002937B6" w:rsidP="008432EB">
                  <w:pPr>
                    <w:spacing w:before="0" w:after="0" w:line="240" w:lineRule="auto"/>
                    <w:rPr>
                      <w:rFonts w:ascii="Garamond" w:eastAsia="SimSun" w:hAnsi="Garamond" w:cs="SimSun"/>
                      <w:sz w:val="20"/>
                      <w:szCs w:val="20"/>
                    </w:rPr>
                  </w:pPr>
                </w:p>
              </w:tc>
            </w:tr>
          </w:tbl>
          <w:p w14:paraId="1A5E3205" w14:textId="62170E8B" w:rsidR="002937B6" w:rsidRPr="009F37BC" w:rsidRDefault="002937B6" w:rsidP="008432EB">
            <w:pPr>
              <w:spacing w:before="0" w:after="0" w:line="240" w:lineRule="auto"/>
              <w:rPr>
                <w:rFonts w:ascii="Garamond" w:hAnsi="Garamond"/>
                <w:sz w:val="20"/>
                <w:szCs w:val="20"/>
              </w:rPr>
            </w:pPr>
          </w:p>
        </w:tc>
      </w:tr>
      <w:tr w:rsidR="00F83987" w:rsidRPr="006311F5" w14:paraId="4913A659" w14:textId="77777777" w:rsidTr="00E25E7C">
        <w:tc>
          <w:tcPr>
            <w:tcW w:w="1951" w:type="dxa"/>
          </w:tcPr>
          <w:p w14:paraId="655039A2" w14:textId="10C6E0EC"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Communications availability</w:t>
            </w:r>
          </w:p>
        </w:tc>
        <w:tc>
          <w:tcPr>
            <w:tcW w:w="6946" w:type="dxa"/>
          </w:tcPr>
          <w:p w14:paraId="51BFE07B" w14:textId="59DD5A6D" w:rsidR="00F83987" w:rsidRPr="009F37BC" w:rsidRDefault="00D233F0" w:rsidP="008432EB">
            <w:pPr>
              <w:spacing w:before="0" w:after="0" w:line="240" w:lineRule="auto"/>
              <w:rPr>
                <w:rFonts w:ascii="Garamond" w:hAnsi="Garamond"/>
                <w:sz w:val="20"/>
                <w:szCs w:val="20"/>
              </w:rPr>
            </w:pPr>
            <w:r>
              <w:rPr>
                <w:rFonts w:ascii="Garamond" w:eastAsiaTheme="minorEastAsia" w:hAnsi="Garamond"/>
                <w:sz w:val="20"/>
                <w:szCs w:val="20"/>
              </w:rPr>
              <w:t>The country has multiple moble-cellular providers with a combined subscribership of over 70 phones per 100 people. In 2012 a 4G internet facility was introduced.</w:t>
            </w:r>
          </w:p>
        </w:tc>
      </w:tr>
      <w:tr w:rsidR="00F83987" w:rsidRPr="006311F5" w14:paraId="6E052056" w14:textId="77777777" w:rsidTr="00E25E7C">
        <w:tc>
          <w:tcPr>
            <w:tcW w:w="1951" w:type="dxa"/>
          </w:tcPr>
          <w:p w14:paraId="11E1921B"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Corporate tax rate</w:t>
            </w:r>
          </w:p>
        </w:tc>
        <w:tc>
          <w:tcPr>
            <w:tcW w:w="6946" w:type="dxa"/>
          </w:tcPr>
          <w:p w14:paraId="15AECD42" w14:textId="34025E03" w:rsidR="00F83987" w:rsidRPr="009F37BC" w:rsidRDefault="00F83987" w:rsidP="00D233F0">
            <w:pPr>
              <w:spacing w:before="0" w:after="0" w:line="240" w:lineRule="auto"/>
              <w:rPr>
                <w:rFonts w:ascii="Garamond" w:hAnsi="Garamond"/>
                <w:sz w:val="20"/>
                <w:szCs w:val="20"/>
              </w:rPr>
            </w:pPr>
            <w:r w:rsidRPr="009F37BC">
              <w:rPr>
                <w:rFonts w:ascii="Garamond" w:eastAsiaTheme="minorEastAsia" w:hAnsi="Garamond"/>
                <w:sz w:val="20"/>
                <w:szCs w:val="20"/>
              </w:rPr>
              <w:t>32%</w:t>
            </w:r>
            <w:r w:rsidR="00D233F0">
              <w:rPr>
                <w:rFonts w:ascii="Garamond" w:eastAsiaTheme="minorEastAsia" w:hAnsi="Garamond"/>
                <w:sz w:val="20"/>
                <w:szCs w:val="20"/>
              </w:rPr>
              <w:t xml:space="preserve"> </w:t>
            </w:r>
          </w:p>
        </w:tc>
      </w:tr>
      <w:tr w:rsidR="00F83987" w:rsidRPr="006311F5" w14:paraId="7E549768" w14:textId="77777777" w:rsidTr="00E25E7C">
        <w:tc>
          <w:tcPr>
            <w:tcW w:w="1951" w:type="dxa"/>
          </w:tcPr>
          <w:p w14:paraId="55B66865"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Rules regarding repatriation of profits and dividends</w:t>
            </w:r>
          </w:p>
          <w:p w14:paraId="51CFCCEC" w14:textId="77777777" w:rsidR="00F83987" w:rsidRPr="009F37BC" w:rsidRDefault="00F83987" w:rsidP="0055487D">
            <w:pPr>
              <w:spacing w:before="0" w:after="0" w:line="240" w:lineRule="auto"/>
              <w:rPr>
                <w:rFonts w:ascii="Garamond" w:hAnsi="Garamond"/>
                <w:sz w:val="20"/>
                <w:szCs w:val="20"/>
              </w:rPr>
            </w:pPr>
          </w:p>
        </w:tc>
        <w:tc>
          <w:tcPr>
            <w:tcW w:w="6946" w:type="dxa"/>
          </w:tcPr>
          <w:p w14:paraId="2BF55898"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If a certificate of Status Investment is issued to foreign investors, then the only rule for repatriation of profits is that local tax needs to be deducted, no further rules apply.</w:t>
            </w:r>
          </w:p>
        </w:tc>
      </w:tr>
      <w:tr w:rsidR="00F83987" w:rsidRPr="006311F5" w14:paraId="78360C6E" w14:textId="77777777" w:rsidTr="00E25E7C">
        <w:tc>
          <w:tcPr>
            <w:tcW w:w="1951" w:type="dxa"/>
          </w:tcPr>
          <w:p w14:paraId="0E4168F8"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Investment Incentives</w:t>
            </w:r>
          </w:p>
        </w:tc>
        <w:tc>
          <w:tcPr>
            <w:tcW w:w="6946" w:type="dxa"/>
          </w:tcPr>
          <w:p w14:paraId="0F1C068B"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Non - Resident Shareholders' Tax is only 10%. </w:t>
            </w:r>
          </w:p>
          <w:p w14:paraId="7806E10E"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Dividends accruing to Namibian companies or resident shareholders are tax-exempt. </w:t>
            </w:r>
          </w:p>
          <w:p w14:paraId="5F5A54C8"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Plant, machinery and equipment can be fully written off over a period of three years. </w:t>
            </w:r>
          </w:p>
          <w:p w14:paraId="7E64B30E" w14:textId="277363C2"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 Buildings of non-manufacturing operations can be written off, 20% in the first year and the balance at 4% over the ensuing 20 years.</w:t>
            </w:r>
          </w:p>
        </w:tc>
      </w:tr>
      <w:tr w:rsidR="00F83987" w:rsidRPr="006311F5" w14:paraId="00045AF8" w14:textId="77777777" w:rsidTr="00E25E7C">
        <w:tc>
          <w:tcPr>
            <w:tcW w:w="1951" w:type="dxa"/>
          </w:tcPr>
          <w:p w14:paraId="4C87CAFA"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Rules related to requirements for local partners</w:t>
            </w:r>
          </w:p>
        </w:tc>
        <w:tc>
          <w:tcPr>
            <w:tcW w:w="6946" w:type="dxa"/>
          </w:tcPr>
          <w:p w14:paraId="1082ABC5"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No restrictions.</w:t>
            </w:r>
          </w:p>
        </w:tc>
      </w:tr>
      <w:tr w:rsidR="00F83987" w:rsidRPr="006311F5" w14:paraId="50BCD195" w14:textId="77777777" w:rsidTr="00E25E7C">
        <w:tc>
          <w:tcPr>
            <w:tcW w:w="1951" w:type="dxa"/>
          </w:tcPr>
          <w:p w14:paraId="42228AA0"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Rules regarding land ownership by foreign companies</w:t>
            </w:r>
          </w:p>
        </w:tc>
        <w:tc>
          <w:tcPr>
            <w:tcW w:w="6946" w:type="dxa"/>
          </w:tcPr>
          <w:p w14:paraId="422CEE3F" w14:textId="3421BAFB" w:rsidR="00F83987" w:rsidRPr="009F37BC" w:rsidRDefault="00635354" w:rsidP="0055487D">
            <w:pPr>
              <w:spacing w:before="0" w:after="0" w:line="240" w:lineRule="auto"/>
              <w:rPr>
                <w:rFonts w:ascii="Garamond" w:hAnsi="Garamond"/>
                <w:sz w:val="20"/>
                <w:szCs w:val="20"/>
              </w:rPr>
            </w:pPr>
            <w:r w:rsidRPr="009F37BC">
              <w:rPr>
                <w:rFonts w:ascii="Garamond" w:hAnsi="Garamond"/>
                <w:sz w:val="20"/>
                <w:szCs w:val="20"/>
              </w:rPr>
              <w:t>There are no restrictions with regard to foreign ownership of land</w:t>
            </w:r>
            <w:r w:rsidR="00F83987" w:rsidRPr="009F37BC">
              <w:rPr>
                <w:rFonts w:ascii="Garamond" w:eastAsiaTheme="minorEastAsia" w:hAnsi="Garamond"/>
                <w:sz w:val="20"/>
                <w:szCs w:val="20"/>
              </w:rPr>
              <w:t>. Only under commercial agricultural land reform legislation, are there restrictions concerning foreign ownership of agricultural farmland.</w:t>
            </w:r>
          </w:p>
        </w:tc>
      </w:tr>
      <w:tr w:rsidR="00F83987" w:rsidRPr="006311F5" w14:paraId="57CECD01" w14:textId="77777777" w:rsidTr="00E25E7C">
        <w:tc>
          <w:tcPr>
            <w:tcW w:w="1951" w:type="dxa"/>
          </w:tcPr>
          <w:p w14:paraId="76C1342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Availability of work permits for expatriate staff</w:t>
            </w:r>
          </w:p>
        </w:tc>
        <w:tc>
          <w:tcPr>
            <w:tcW w:w="6946" w:type="dxa"/>
          </w:tcPr>
          <w:p w14:paraId="6CFA424F"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There is a process that needs to be followed which includes a requirement to prove/motivate why a Namibian could not perform the work or directly link the application to a skills shortage in Namibia.</w:t>
            </w:r>
          </w:p>
        </w:tc>
      </w:tr>
      <w:tr w:rsidR="00F83987" w:rsidRPr="006311F5" w14:paraId="693A5D60" w14:textId="77777777" w:rsidTr="00E25E7C">
        <w:tc>
          <w:tcPr>
            <w:tcW w:w="1951" w:type="dxa"/>
          </w:tcPr>
          <w:p w14:paraId="339B866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Investment guarantees</w:t>
            </w:r>
          </w:p>
          <w:p w14:paraId="707F7ACC" w14:textId="77777777" w:rsidR="00F83987" w:rsidRPr="009F37BC" w:rsidRDefault="00F83987" w:rsidP="0055487D">
            <w:pPr>
              <w:spacing w:before="0" w:after="0" w:line="240" w:lineRule="auto"/>
              <w:rPr>
                <w:rFonts w:ascii="Garamond" w:hAnsi="Garamond"/>
                <w:sz w:val="20"/>
                <w:szCs w:val="20"/>
              </w:rPr>
            </w:pPr>
          </w:p>
        </w:tc>
        <w:tc>
          <w:tcPr>
            <w:tcW w:w="6946" w:type="dxa"/>
          </w:tcPr>
          <w:p w14:paraId="6596E775"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Namibia is a member of the World Bank's Multilateral Investment Guarantee Agency (MIGA). It is also a signatory to the Overseas Private Investment Corporation (OPIC) which provides political risk insurance to US investors in Namibia. The legal system protects and facilitates acquisition and disposition of property rights. The Namibian Constitution guarantees against expropriation without compensation.</w:t>
            </w:r>
          </w:p>
        </w:tc>
      </w:tr>
      <w:tr w:rsidR="00F83987" w:rsidRPr="006311F5" w14:paraId="121089CA" w14:textId="77777777" w:rsidTr="00E25E7C">
        <w:tc>
          <w:tcPr>
            <w:tcW w:w="1951" w:type="dxa"/>
          </w:tcPr>
          <w:p w14:paraId="7F1D1EF6"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Restrictions on foreign investment</w:t>
            </w:r>
          </w:p>
        </w:tc>
        <w:tc>
          <w:tcPr>
            <w:tcW w:w="6946" w:type="dxa"/>
          </w:tcPr>
          <w:p w14:paraId="1B39C392"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No restrictions to date.</w:t>
            </w:r>
          </w:p>
        </w:tc>
      </w:tr>
    </w:tbl>
    <w:p w14:paraId="1F82C461" w14:textId="7794D421" w:rsidR="00F83987" w:rsidRPr="006311F5" w:rsidRDefault="00635354" w:rsidP="00F83987">
      <w:pPr>
        <w:spacing w:before="0" w:after="0" w:line="240" w:lineRule="auto"/>
        <w:jc w:val="left"/>
        <w:rPr>
          <w:rFonts w:ascii="Garamond" w:hAnsi="Garamond"/>
        </w:rPr>
      </w:pPr>
      <w:r>
        <w:rPr>
          <w:rFonts w:ascii="Garamond" w:hAnsi="Garamond"/>
        </w:rPr>
        <w:t>Source: RETOSA 2014, pp57; Pers. Com. S. Mulonga, 2014</w:t>
      </w:r>
    </w:p>
    <w:p w14:paraId="57DBBD73" w14:textId="77777777" w:rsidR="00F83987" w:rsidRDefault="00F83987" w:rsidP="00D60281">
      <w:pPr>
        <w:spacing w:before="0" w:after="0" w:line="240" w:lineRule="auto"/>
        <w:jc w:val="left"/>
        <w:rPr>
          <w:rFonts w:ascii="Garamond" w:hAnsi="Garamond"/>
        </w:rPr>
      </w:pPr>
    </w:p>
    <w:p w14:paraId="6DF9D6FC" w14:textId="77777777" w:rsidR="009F37BC" w:rsidRPr="009F37BC" w:rsidRDefault="009F37BC" w:rsidP="009F37BC">
      <w:pPr>
        <w:spacing w:before="0" w:after="0" w:line="240" w:lineRule="auto"/>
        <w:rPr>
          <w:rFonts w:ascii="Garamond" w:eastAsia="Arial Unicode MS" w:hAnsi="Garamond" w:cs="Arial Unicode MS"/>
        </w:rPr>
      </w:pPr>
    </w:p>
    <w:p w14:paraId="54DA85EB" w14:textId="77777777" w:rsidR="00E9294C" w:rsidRPr="006311F5" w:rsidRDefault="00E9294C" w:rsidP="00E9294C">
      <w:pPr>
        <w:pStyle w:val="Heading3"/>
        <w:rPr>
          <w:rFonts w:ascii="Garamond" w:hAnsi="Garamond"/>
        </w:rPr>
      </w:pPr>
      <w:bookmarkStart w:id="93" w:name="_Toc269636368"/>
      <w:r w:rsidRPr="006311F5">
        <w:rPr>
          <w:rFonts w:ascii="Garamond" w:hAnsi="Garamond"/>
        </w:rPr>
        <w:t>Seychelles</w:t>
      </w:r>
      <w:bookmarkEnd w:id="93"/>
    </w:p>
    <w:p w14:paraId="3F22F3E7" w14:textId="24B98546" w:rsidR="00887510" w:rsidRPr="00887510" w:rsidRDefault="009F37BC" w:rsidP="00887510">
      <w:pPr>
        <w:spacing w:before="0" w:after="0" w:line="240" w:lineRule="auto"/>
        <w:rPr>
          <w:rFonts w:ascii="Garamond" w:hAnsi="Garamond"/>
          <w:b/>
        </w:rPr>
      </w:pPr>
      <w:r>
        <w:rPr>
          <w:rFonts w:ascii="Garamond" w:hAnsi="Garamond" w:cs="Times"/>
        </w:rPr>
        <w:br/>
      </w:r>
      <w:r w:rsidR="00887510" w:rsidRPr="00887510">
        <w:rPr>
          <w:rFonts w:ascii="Garamond" w:hAnsi="Garamond"/>
          <w:b/>
        </w:rPr>
        <w:t>Concession information</w:t>
      </w:r>
    </w:p>
    <w:p w14:paraId="3AF3A85B" w14:textId="77777777" w:rsidR="00887510" w:rsidRPr="00887510" w:rsidRDefault="00887510" w:rsidP="00887510">
      <w:pPr>
        <w:spacing w:before="0" w:after="0" w:line="240" w:lineRule="auto"/>
        <w:rPr>
          <w:rFonts w:ascii="Garamond" w:hAnsi="Garamond"/>
          <w:b/>
          <w:u w:val="single"/>
        </w:rPr>
      </w:pPr>
    </w:p>
    <w:tbl>
      <w:tblPr>
        <w:tblStyle w:val="TableGrid"/>
        <w:tblW w:w="0" w:type="auto"/>
        <w:tblLook w:val="04A0" w:firstRow="1" w:lastRow="0" w:firstColumn="1" w:lastColumn="0" w:noHBand="0" w:noVBand="1"/>
      </w:tblPr>
      <w:tblGrid>
        <w:gridCol w:w="2047"/>
        <w:gridCol w:w="6850"/>
      </w:tblGrid>
      <w:tr w:rsidR="00887510" w:rsidRPr="00887510" w14:paraId="61BBD8C3" w14:textId="77777777" w:rsidTr="009F37BC">
        <w:tc>
          <w:tcPr>
            <w:tcW w:w="2047" w:type="dxa"/>
          </w:tcPr>
          <w:p w14:paraId="308E70D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38ADFE2" w14:textId="77777777" w:rsidR="00887510" w:rsidRPr="007376A4" w:rsidRDefault="00887510" w:rsidP="0045079F">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sz w:val="20"/>
                <w:szCs w:val="20"/>
              </w:rPr>
              <w:t>(e.g. policy, laws, regulations)</w:t>
            </w:r>
          </w:p>
        </w:tc>
      </w:tr>
      <w:tr w:rsidR="00887510" w:rsidRPr="00887510" w14:paraId="2F80992F" w14:textId="77777777" w:rsidTr="009F37BC">
        <w:tc>
          <w:tcPr>
            <w:tcW w:w="2047" w:type="dxa"/>
          </w:tcPr>
          <w:p w14:paraId="7E778DBF"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4B85E194"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(e.g. management contracts; leases; concessions (Build operate transfer; rehabilitate operate transfer etc)</w:t>
            </w:r>
          </w:p>
          <w:p w14:paraId="6A2BDB15"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p>
        </w:tc>
      </w:tr>
      <w:tr w:rsidR="00887510" w:rsidRPr="00887510" w14:paraId="178690F1" w14:textId="77777777" w:rsidTr="009F37BC">
        <w:tc>
          <w:tcPr>
            <w:tcW w:w="2047" w:type="dxa"/>
          </w:tcPr>
          <w:p w14:paraId="738170C5"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47D02775" w14:textId="77777777" w:rsidR="00887510" w:rsidRPr="007376A4" w:rsidRDefault="00887510" w:rsidP="0045079F">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(e.g. Tender process/auction/direct negotiations)</w:t>
            </w:r>
          </w:p>
        </w:tc>
      </w:tr>
      <w:tr w:rsidR="00887510" w:rsidRPr="00887510" w14:paraId="2811C80E" w14:textId="77777777" w:rsidTr="009F37BC">
        <w:tc>
          <w:tcPr>
            <w:tcW w:w="2047" w:type="dxa"/>
          </w:tcPr>
          <w:p w14:paraId="2073346F"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7EAF59B7"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exist?)</w:t>
            </w:r>
          </w:p>
        </w:tc>
      </w:tr>
      <w:tr w:rsidR="00887510" w:rsidRPr="00887510" w14:paraId="6D6A5D40" w14:textId="77777777" w:rsidTr="009F37BC">
        <w:tc>
          <w:tcPr>
            <w:tcW w:w="2047" w:type="dxa"/>
          </w:tcPr>
          <w:p w14:paraId="4D347D4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71B5FAFB"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(any exist?)</w:t>
            </w:r>
          </w:p>
        </w:tc>
      </w:tr>
      <w:tr w:rsidR="00887510" w:rsidRPr="00887510" w14:paraId="63053939" w14:textId="77777777" w:rsidTr="009F37BC">
        <w:tc>
          <w:tcPr>
            <w:tcW w:w="2047" w:type="dxa"/>
          </w:tcPr>
          <w:p w14:paraId="24885A0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1DF1DF03"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(i.e. for scaling up to other SADC countries)</w:t>
            </w:r>
          </w:p>
        </w:tc>
      </w:tr>
      <w:tr w:rsidR="00887510" w:rsidRPr="00887510" w14:paraId="0D90CDD0" w14:textId="77777777" w:rsidTr="009F37BC">
        <w:tc>
          <w:tcPr>
            <w:tcW w:w="2047" w:type="dxa"/>
          </w:tcPr>
          <w:p w14:paraId="5A71365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443DAFDF"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(for guidelines)</w:t>
            </w:r>
          </w:p>
        </w:tc>
      </w:tr>
    </w:tbl>
    <w:p w14:paraId="07346933" w14:textId="77777777" w:rsidR="00887510" w:rsidRPr="00887510" w:rsidRDefault="00887510" w:rsidP="00887510">
      <w:pPr>
        <w:spacing w:before="0" w:after="0" w:line="240" w:lineRule="auto"/>
        <w:rPr>
          <w:rFonts w:ascii="Garamond" w:hAnsi="Garamond"/>
          <w:b/>
          <w:u w:val="single"/>
        </w:rPr>
      </w:pPr>
    </w:p>
    <w:p w14:paraId="00B48BB1" w14:textId="4692EB4C" w:rsidR="00887510" w:rsidRPr="00887510" w:rsidRDefault="00887510" w:rsidP="00887510">
      <w:pPr>
        <w:rPr>
          <w:rFonts w:ascii="Garamond" w:hAnsi="Garamond"/>
          <w:b/>
        </w:rPr>
      </w:pPr>
      <w:r w:rsidRPr="00887510">
        <w:rPr>
          <w:rFonts w:ascii="Garamond" w:hAnsi="Garamond"/>
          <w:b/>
        </w:rPr>
        <w:t>Investor information</w:t>
      </w:r>
    </w:p>
    <w:tbl>
      <w:tblPr>
        <w:tblStyle w:val="TableGrid"/>
        <w:tblW w:w="0" w:type="auto"/>
        <w:tblLook w:val="04A0" w:firstRow="1" w:lastRow="0" w:firstColumn="1" w:lastColumn="0" w:noHBand="0" w:noVBand="1"/>
      </w:tblPr>
      <w:tblGrid>
        <w:gridCol w:w="2093"/>
        <w:gridCol w:w="6763"/>
      </w:tblGrid>
      <w:tr w:rsidR="00887510" w:rsidRPr="00887510" w14:paraId="1F77E3F3" w14:textId="77777777" w:rsidTr="0045079F">
        <w:tc>
          <w:tcPr>
            <w:tcW w:w="2093" w:type="dxa"/>
          </w:tcPr>
          <w:p w14:paraId="295FC7B0"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5A7C823B"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9CE7DC" w14:textId="777777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Seychelles International Airport, also called Aéroport de La Pointe la Rue, is situated on the island of Mahé 11 km south-east of the capital city of Port Victoria. International flights connect Seychelles to Europe, Africa, Asia, and the Middle East. Seychelles International Airport is also the hub for inter-island travel with daily domestic flight services.</w:t>
            </w:r>
          </w:p>
        </w:tc>
      </w:tr>
      <w:tr w:rsidR="00887510" w:rsidRPr="00887510" w14:paraId="5129F13C" w14:textId="77777777" w:rsidTr="0045079F">
        <w:tc>
          <w:tcPr>
            <w:tcW w:w="2093" w:type="dxa"/>
          </w:tcPr>
          <w:p w14:paraId="5570B306"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5F90CD89" w14:textId="777777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Air Seychelles</w:t>
            </w:r>
          </w:p>
        </w:tc>
      </w:tr>
      <w:tr w:rsidR="00887510" w:rsidRPr="00887510" w14:paraId="0162FDE3" w14:textId="77777777" w:rsidTr="0045079F">
        <w:tc>
          <w:tcPr>
            <w:tcW w:w="2093" w:type="dxa"/>
          </w:tcPr>
          <w:p w14:paraId="51187D49"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D5C78B0" w14:textId="5F5B98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Getting between the various islands is achieved through a network of air and sea transport primarily operating out of the principal island, Mahé. Air Seychelles operates a shuttle service between Mahé and Praslin, the second largest island. The flight lasts only 15 minutes with an average of 20 return flights every day. Air Seychelles also operates other inter-island flights, usually on the request of hotels to Bird, Denis, Desroches and Alphonse Islands. Zil Air is a helicopter charter company which specialises in island transfers, excursions and chartered scenic flights throughout </w:t>
            </w:r>
            <w:r w:rsidR="0045079F" w:rsidRPr="007376A4">
              <w:rPr>
                <w:rFonts w:ascii="Garamond" w:eastAsiaTheme="minorEastAsia" w:hAnsi="Garamond" w:cs="Times"/>
                <w:sz w:val="20"/>
                <w:szCs w:val="20"/>
              </w:rPr>
              <w:t>the inner islands</w:t>
            </w:r>
            <w:r w:rsidRPr="007376A4">
              <w:rPr>
                <w:rFonts w:ascii="Garamond" w:eastAsiaTheme="minorEastAsia" w:hAnsi="Garamond" w:cs="Times"/>
                <w:sz w:val="20"/>
                <w:szCs w:val="20"/>
              </w:rPr>
              <w:t>. The Islands Development Company (IDC) specialises in charter flights mostly to the Outer Islands of Seychelles.</w:t>
            </w:r>
          </w:p>
          <w:p w14:paraId="338B4857" w14:textId="352DFB19" w:rsidR="0045079F" w:rsidRPr="007376A4" w:rsidRDefault="0045079F" w:rsidP="00CD1C89">
            <w:pPr>
              <w:spacing w:before="0" w:after="0" w:line="240" w:lineRule="auto"/>
              <w:jc w:val="left"/>
              <w:rPr>
                <w:rFonts w:ascii="Garamond" w:eastAsia="Calibri" w:hAnsi="Garamond" w:cs="Times New Roman"/>
                <w:sz w:val="20"/>
                <w:szCs w:val="20"/>
                <w:shd w:val="clear" w:color="auto" w:fill="FFFFFF"/>
                <w:lang w:val="en-ZA"/>
              </w:rPr>
            </w:pPr>
            <w:r w:rsidRPr="007376A4">
              <w:rPr>
                <w:rFonts w:ascii="Garamond" w:eastAsia="Calibri" w:hAnsi="Garamond" w:cs="Times New Roman"/>
                <w:sz w:val="20"/>
                <w:szCs w:val="20"/>
                <w:shd w:val="clear" w:color="auto" w:fill="FFFFFF"/>
                <w:lang w:val="en-ZA"/>
              </w:rPr>
              <w:t>Inter Island Boats has a fleet of modern fast ferries ensuring a 3 times daily service between the main islands of Mahé, Praslin and La Digue.</w:t>
            </w:r>
          </w:p>
        </w:tc>
      </w:tr>
      <w:tr w:rsidR="00887510" w:rsidRPr="00887510" w14:paraId="53B940C0" w14:textId="77777777" w:rsidTr="0045079F">
        <w:tc>
          <w:tcPr>
            <w:tcW w:w="2093" w:type="dxa"/>
          </w:tcPr>
          <w:p w14:paraId="4DB29D7E"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5850D52C"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50B0B31" w14:textId="42AFD7DB"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The Seychelles has a modern communications infrastructure with two GSM networks in operation. With the linkage of the country to the EASSy submarine fibre optic cable in 2012, high speed internet is available.</w:t>
            </w:r>
          </w:p>
        </w:tc>
      </w:tr>
      <w:tr w:rsidR="00887510" w:rsidRPr="00887510" w14:paraId="330EAA66" w14:textId="77777777" w:rsidTr="0045079F">
        <w:tc>
          <w:tcPr>
            <w:tcW w:w="2093" w:type="dxa"/>
          </w:tcPr>
          <w:p w14:paraId="04F5D97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05DE90B5" w14:textId="432BEF5D" w:rsidR="0045079F" w:rsidRPr="007376A4" w:rsidRDefault="0045079F" w:rsidP="00CD1C89">
            <w:pPr>
              <w:spacing w:before="0" w:after="0" w:line="240" w:lineRule="auto"/>
              <w:rPr>
                <w:rFonts w:ascii="Garamond" w:hAnsi="Garamond" w:cs="Times New Roman"/>
                <w:sz w:val="20"/>
                <w:szCs w:val="20"/>
                <w:lang w:eastAsia="en-GB"/>
              </w:rPr>
            </w:pPr>
            <w:r w:rsidRPr="007376A4">
              <w:rPr>
                <w:rFonts w:ascii="Garamond" w:hAnsi="Garamond" w:cs="Times New Roman"/>
                <w:sz w:val="20"/>
                <w:szCs w:val="20"/>
                <w:lang w:eastAsia="en-GB"/>
              </w:rPr>
              <w:t xml:space="preserve">The presumptive tax is applicable for all businesses regardless of their activity and entity type (sole trader, partnership or company); provided the business annual turnover is not above SR 1 million and not registered for Value Added Tax (VAT).   </w:t>
            </w:r>
          </w:p>
          <w:p w14:paraId="648B4EEC" w14:textId="6EF8CFFC" w:rsidR="0045079F" w:rsidRPr="007376A4" w:rsidRDefault="0045079F" w:rsidP="00CD1C89">
            <w:pPr>
              <w:spacing w:before="0" w:after="0" w:line="240" w:lineRule="auto"/>
              <w:rPr>
                <w:rFonts w:ascii="Garamond" w:hAnsi="Garamond" w:cs="Times New Roman"/>
                <w:sz w:val="20"/>
                <w:szCs w:val="20"/>
                <w:lang w:eastAsia="en-GB"/>
              </w:rPr>
            </w:pPr>
            <w:r w:rsidRPr="007376A4">
              <w:rPr>
                <w:rFonts w:ascii="Garamond" w:hAnsi="Garamond" w:cs="Times New Roman"/>
                <w:sz w:val="20"/>
                <w:szCs w:val="20"/>
                <w:lang w:eastAsia="en-GB"/>
              </w:rPr>
              <w:t xml:space="preserve">The presumptive tax rate is 1.5% of the business’ gross annual turnover. </w:t>
            </w:r>
            <w:r w:rsidRPr="007376A4">
              <w:rPr>
                <w:rFonts w:ascii="Garamond" w:hAnsi="Garamond" w:cs="Times New Roman"/>
                <w:sz w:val="20"/>
                <w:szCs w:val="20"/>
                <w:lang w:eastAsia="en-GB"/>
              </w:rPr>
              <w:br/>
            </w:r>
            <w:r w:rsidRPr="007376A4">
              <w:rPr>
                <w:rFonts w:ascii="Garamond" w:eastAsiaTheme="minorEastAsia" w:hAnsi="Garamond" w:cs="Times"/>
                <w:sz w:val="20"/>
                <w:szCs w:val="20"/>
              </w:rPr>
              <w:t xml:space="preserve">Business Tax is levied on the business taxable income and the rate is specified as per the First Schedule of the Business Tax Act, 2009 </w:t>
            </w:r>
            <w:r w:rsidR="00FA6CA4" w:rsidRPr="007376A4">
              <w:rPr>
                <w:rFonts w:ascii="Garamond" w:eastAsiaTheme="minorEastAsia" w:hAnsi="Garamond" w:cs="Times"/>
                <w:sz w:val="20"/>
                <w:szCs w:val="20"/>
              </w:rPr>
              <w:t xml:space="preserve">[as amended by S.I. 66 of 2012] </w:t>
            </w:r>
            <w:r w:rsidRPr="007376A4">
              <w:rPr>
                <w:rFonts w:ascii="Garamond" w:eastAsiaTheme="minorEastAsia" w:hAnsi="Garamond" w:cs="Times"/>
                <w:sz w:val="20"/>
                <w:szCs w:val="20"/>
              </w:rPr>
              <w:t>in the case of an entity</w:t>
            </w:r>
            <w:r w:rsidR="00FA6CA4" w:rsidRPr="007376A4">
              <w:rPr>
                <w:rFonts w:ascii="Garamond" w:eastAsiaTheme="minorEastAsia" w:hAnsi="Garamond" w:cs="Times"/>
                <w:sz w:val="20"/>
                <w:szCs w:val="20"/>
              </w:rPr>
              <w:t>, government body or a trustee:</w:t>
            </w:r>
          </w:p>
          <w:p w14:paraId="4F5FA447" w14:textId="77777777" w:rsidR="0045079F" w:rsidRPr="007376A4" w:rsidRDefault="0045079F"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(i)  25% on the first SCR1, 000,000 of taxable income;</w:t>
            </w:r>
          </w:p>
          <w:p w14:paraId="66A3C021" w14:textId="5A4FF82C" w:rsidR="00887510" w:rsidRPr="007376A4" w:rsidRDefault="0045079F"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(ii)  30 % on the remainder.</w:t>
            </w:r>
          </w:p>
        </w:tc>
      </w:tr>
      <w:tr w:rsidR="00887510" w:rsidRPr="00887510" w14:paraId="240F6979" w14:textId="77777777" w:rsidTr="0045079F">
        <w:tc>
          <w:tcPr>
            <w:tcW w:w="2093" w:type="dxa"/>
          </w:tcPr>
          <w:p w14:paraId="54ABE0EC"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60E09DB7"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Seychelles has removed all foreign exchange controls and repatriation of profits is allowed.</w:t>
            </w:r>
          </w:p>
        </w:tc>
      </w:tr>
      <w:tr w:rsidR="00887510" w:rsidRPr="00887510" w14:paraId="38112F1E" w14:textId="77777777" w:rsidTr="0045079F">
        <w:tc>
          <w:tcPr>
            <w:tcW w:w="2093" w:type="dxa"/>
          </w:tcPr>
          <w:p w14:paraId="7E4E015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08A70BC4" w14:textId="2A5CBA35"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The concessions granted relating to business tax under the Tourism Incentives Act has been moved to Business Tax Act, 2009 as per the Eight Schedule which includes the rate of business tax, special deduction in terms of expenditure, training, marketing &amp; promotion etc., accelerated depreciation.  Trades Tax concession is applicable during the construction phase of the project and to be approved by the Ministry of Finance.  There is no concession from Value Added Tax (VAT).  The business has to register for VAT to be able to claim back the VAT paid and or eligible for ‘deferred payment of VAT.</w:t>
            </w:r>
          </w:p>
          <w:p w14:paraId="0B7B1B93"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The concessions granted relating to business tax under the Agriculture and Fisheries (Incentives) Act, 2005 has been moved under the Eight Schedule of the Business Tax Act, 2009 which includes the rate of business tax, special deduction in terms of expenditure, training, marketing &amp; promotion etc., accelerated depreciation.</w:t>
            </w:r>
          </w:p>
          <w:p w14:paraId="1195BA1A" w14:textId="77777777" w:rsidR="00FA6CA4" w:rsidRPr="007376A4" w:rsidRDefault="00FA6CA4" w:rsidP="00CD1C89">
            <w:pPr>
              <w:widowControl w:val="0"/>
              <w:autoSpaceDE w:val="0"/>
              <w:autoSpaceDN w:val="0"/>
              <w:adjustRightInd w:val="0"/>
              <w:spacing w:before="0" w:after="0" w:line="240" w:lineRule="auto"/>
              <w:rPr>
                <w:rFonts w:ascii="Garamond" w:hAnsi="Garamond" w:cs="Times"/>
                <w:sz w:val="20"/>
                <w:szCs w:val="20"/>
              </w:rPr>
            </w:pPr>
          </w:p>
        </w:tc>
      </w:tr>
      <w:tr w:rsidR="00887510" w:rsidRPr="00887510" w14:paraId="0140FD92" w14:textId="77777777" w:rsidTr="0045079F">
        <w:tc>
          <w:tcPr>
            <w:tcW w:w="2093" w:type="dxa"/>
          </w:tcPr>
          <w:p w14:paraId="06496A2B"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497AA60C"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No requirement.</w:t>
            </w:r>
          </w:p>
        </w:tc>
      </w:tr>
      <w:tr w:rsidR="00887510" w:rsidRPr="00887510" w14:paraId="61860D71" w14:textId="77777777" w:rsidTr="0045079F">
        <w:tc>
          <w:tcPr>
            <w:tcW w:w="2093" w:type="dxa"/>
          </w:tcPr>
          <w:p w14:paraId="354C6A09"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4F8CA440"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Investors can lease land from government and/or buy land from the private sector. The government will lease commercial or industrial property on terms ranging from 60 to 99 years depending on the type and scale of the development.</w:t>
            </w:r>
          </w:p>
        </w:tc>
      </w:tr>
      <w:tr w:rsidR="00887510" w:rsidRPr="00887510" w14:paraId="1E9A70AE" w14:textId="77777777" w:rsidTr="0045079F">
        <w:tc>
          <w:tcPr>
            <w:tcW w:w="2093" w:type="dxa"/>
          </w:tcPr>
          <w:p w14:paraId="6EBE96A4"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20A615AE" w14:textId="00A0C4B4" w:rsidR="00887510" w:rsidRPr="007376A4" w:rsidRDefault="00FA6CA4"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Work permits are granted to expatriate staff in the form of a Gainful Occupation Permit (GOP). Tourism businesses are entitled to a quota for employment of expatriate for certain occupations</w:t>
            </w:r>
          </w:p>
        </w:tc>
      </w:tr>
      <w:tr w:rsidR="00887510" w:rsidRPr="00887510" w14:paraId="257FB9AB" w14:textId="77777777" w:rsidTr="0045079F">
        <w:tc>
          <w:tcPr>
            <w:tcW w:w="2093" w:type="dxa"/>
          </w:tcPr>
          <w:p w14:paraId="25E18D18"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58EE88F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2085A5E" w14:textId="61E7128D" w:rsidR="00887510" w:rsidRPr="007376A4" w:rsidRDefault="00FA6CA4"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government of Seychelles conducts regular assessments of its legislation pertaining to investment in the country, and implements measures designed to create an ever more competitive, internationally compatible investment climate, to ensure that both new and established businesses are guaranteed success in their business activities. The Seychelles Investment Act 2010 guarantees that any investment is protected against nationalisation or expropriation by the state.</w:t>
            </w:r>
          </w:p>
        </w:tc>
      </w:tr>
      <w:tr w:rsidR="00887510" w:rsidRPr="00887510" w14:paraId="37610C96" w14:textId="77777777" w:rsidTr="0045079F">
        <w:tc>
          <w:tcPr>
            <w:tcW w:w="2093" w:type="dxa"/>
          </w:tcPr>
          <w:p w14:paraId="30028FB7"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10615124"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There are no limitations on the participation of foreign capital in the services sectors except for the participation in the sectors referred to as "Reserved" and "Strategic" areas of investment. “Reserved” areas, according to Seychelles' current investment legislation, refer to activities which are reserved for domestic investors only, while “Strategic” areas relate to sectors in which domestic and foreign investors may be allowed to operate subject to conditions designed to protect the public interest. In terms of tourism investment, the following are reserved for domestic investors only:</w:t>
            </w:r>
          </w:p>
          <w:p w14:paraId="00728914"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p>
          <w:p w14:paraId="4501842E"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Accommodation of up to 15 rooms</w:t>
            </w:r>
          </w:p>
          <w:p w14:paraId="6638B03A"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Live aboard up to 5 boats </w:t>
            </w:r>
          </w:p>
          <w:p w14:paraId="27CD8C5F"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Travel Agent</w:t>
            </w:r>
          </w:p>
          <w:p w14:paraId="138ED030"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Tourist Guide</w:t>
            </w:r>
          </w:p>
          <w:p w14:paraId="68D57356"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 Car Hire Operator </w:t>
            </w:r>
          </w:p>
          <w:p w14:paraId="5FB6A965"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Boat Charter </w:t>
            </w:r>
          </w:p>
          <w:p w14:paraId="7D8D6AE5"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Taxi Operator</w:t>
            </w:r>
          </w:p>
          <w:p w14:paraId="354ABFEA"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 Diving Centers (excluding centers operating on outer islands and dive operators) </w:t>
            </w:r>
          </w:p>
          <w:p w14:paraId="456E668D" w14:textId="0FB13D11" w:rsidR="00887510"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Water Sports</w:t>
            </w:r>
          </w:p>
        </w:tc>
      </w:tr>
    </w:tbl>
    <w:p w14:paraId="7CE35AAE" w14:textId="5126DB09" w:rsidR="00F50142" w:rsidRPr="00887510" w:rsidRDefault="00E9294C" w:rsidP="00396D78">
      <w:pPr>
        <w:spacing w:before="0" w:after="0" w:line="240" w:lineRule="auto"/>
        <w:jc w:val="left"/>
        <w:rPr>
          <w:rFonts w:ascii="Garamond" w:hAnsi="Garamond"/>
        </w:rPr>
      </w:pPr>
      <w:r w:rsidRPr="00887510">
        <w:rPr>
          <w:rFonts w:ascii="Garamond" w:hAnsi="Garamond"/>
        </w:rPr>
        <w:t>Source: RETOSA 2014, pp63-64</w:t>
      </w:r>
      <w:r w:rsidR="00FA6CA4">
        <w:rPr>
          <w:rFonts w:ascii="Garamond" w:hAnsi="Garamond"/>
        </w:rPr>
        <w:t xml:space="preserve">; Pers Com. S. </w:t>
      </w:r>
      <w:r w:rsidR="00396D78">
        <w:rPr>
          <w:rFonts w:ascii="Garamond" w:hAnsi="Garamond"/>
        </w:rPr>
        <w:t>Levkovic, Ministry of Tourism and Culture; D. Ernesta, Seychelles Ch</w:t>
      </w:r>
      <w:r w:rsidR="00AD39D5">
        <w:rPr>
          <w:rFonts w:ascii="Garamond" w:hAnsi="Garamond"/>
        </w:rPr>
        <w:t>amber of Commerce and Industry</w:t>
      </w:r>
    </w:p>
    <w:p w14:paraId="307E7F0E" w14:textId="77777777" w:rsidR="004F2352" w:rsidRPr="006311F5" w:rsidRDefault="004F2352" w:rsidP="004F2352">
      <w:pPr>
        <w:spacing w:line="240" w:lineRule="auto"/>
        <w:rPr>
          <w:rFonts w:ascii="Garamond" w:hAnsi="Garamond"/>
          <w:sz w:val="24"/>
          <w:szCs w:val="24"/>
        </w:rPr>
      </w:pPr>
    </w:p>
    <w:p w14:paraId="7FDD0B48" w14:textId="77777777" w:rsidR="004F2352" w:rsidRPr="006311F5" w:rsidRDefault="004F2352" w:rsidP="004F2352">
      <w:pPr>
        <w:pStyle w:val="Heading3"/>
        <w:rPr>
          <w:rFonts w:ascii="Garamond" w:hAnsi="Garamond"/>
        </w:rPr>
      </w:pPr>
      <w:bookmarkStart w:id="94" w:name="_Toc269636369"/>
      <w:r w:rsidRPr="006311F5">
        <w:rPr>
          <w:rFonts w:ascii="Garamond" w:hAnsi="Garamond"/>
        </w:rPr>
        <w:t>South africa</w:t>
      </w:r>
      <w:bookmarkEnd w:id="94"/>
    </w:p>
    <w:p w14:paraId="5E06C922" w14:textId="0970BE60" w:rsidR="004F2352" w:rsidRPr="00AD39D5" w:rsidRDefault="00AD39D5" w:rsidP="004F2352">
      <w:pPr>
        <w:widowControl w:val="0"/>
        <w:autoSpaceDE w:val="0"/>
        <w:autoSpaceDN w:val="0"/>
        <w:adjustRightInd w:val="0"/>
        <w:spacing w:after="240"/>
        <w:rPr>
          <w:rFonts w:ascii="Garamond" w:hAnsi="Garamond" w:cs="Times"/>
          <w:b/>
        </w:rPr>
      </w:pPr>
      <w:r w:rsidRPr="00AD39D5">
        <w:rPr>
          <w:rFonts w:ascii="Garamond" w:hAnsi="Garamond" w:cs="Times"/>
          <w:b/>
        </w:rPr>
        <w:t>Concession information</w:t>
      </w:r>
    </w:p>
    <w:tbl>
      <w:tblPr>
        <w:tblStyle w:val="TableGrid"/>
        <w:tblW w:w="0" w:type="auto"/>
        <w:tblLook w:val="04A0" w:firstRow="1" w:lastRow="0" w:firstColumn="1" w:lastColumn="0" w:noHBand="0" w:noVBand="1"/>
      </w:tblPr>
      <w:tblGrid>
        <w:gridCol w:w="2047"/>
        <w:gridCol w:w="6850"/>
      </w:tblGrid>
      <w:tr w:rsidR="00AD39D5" w:rsidRPr="00887510" w14:paraId="41976117" w14:textId="77777777" w:rsidTr="00AD39D5">
        <w:tc>
          <w:tcPr>
            <w:tcW w:w="2047" w:type="dxa"/>
          </w:tcPr>
          <w:p w14:paraId="224F0FAF"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Relevant policies, strategies and legislation</w:t>
            </w:r>
          </w:p>
        </w:tc>
        <w:tc>
          <w:tcPr>
            <w:tcW w:w="6850" w:type="dxa"/>
          </w:tcPr>
          <w:p w14:paraId="7BDB9905"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(e.g. policy, laws, regulations)</w:t>
            </w:r>
          </w:p>
          <w:p w14:paraId="4E197481" w14:textId="14F4D997" w:rsidR="00AD39D5" w:rsidRPr="007376A4" w:rsidRDefault="007376A4" w:rsidP="007376A4">
            <w:pPr>
              <w:spacing w:before="0" w:after="0" w:line="240" w:lineRule="auto"/>
              <w:rPr>
                <w:rFonts w:ascii="Garamond" w:eastAsia="Calibri" w:hAnsi="Garamond"/>
                <w:sz w:val="20"/>
                <w:szCs w:val="20"/>
              </w:rPr>
            </w:pPr>
            <w:r w:rsidRPr="007376A4">
              <w:rPr>
                <w:rFonts w:ascii="Garamond" w:eastAsia="Calibri" w:hAnsi="Garamond"/>
                <w:sz w:val="20"/>
                <w:szCs w:val="20"/>
              </w:rPr>
              <w:t>South Africa has established a firm regulatory framework for national and provincial institution</w:t>
            </w:r>
            <w:r>
              <w:rPr>
                <w:rFonts w:ascii="Garamond" w:eastAsia="Calibri" w:hAnsi="Garamond"/>
                <w:sz w:val="20"/>
                <w:szCs w:val="20"/>
              </w:rPr>
              <w:t>s</w:t>
            </w:r>
            <w:r w:rsidRPr="007376A4">
              <w:rPr>
                <w:rFonts w:ascii="Garamond" w:eastAsia="Calibri" w:hAnsi="Garamond" w:cs="Times New Roman"/>
                <w:position w:val="8"/>
                <w:sz w:val="20"/>
                <w:szCs w:val="20"/>
              </w:rPr>
              <w:t xml:space="preserve"> </w:t>
            </w:r>
            <w:r w:rsidRPr="007376A4">
              <w:rPr>
                <w:rFonts w:ascii="Garamond" w:eastAsia="Calibri" w:hAnsi="Garamond"/>
                <w:sz w:val="20"/>
                <w:szCs w:val="20"/>
              </w:rPr>
              <w:t>to enter into public private partnerships(PPPs). This is set out in Treasury Regulation 16</w:t>
            </w:r>
            <w:r w:rsidRPr="007376A4">
              <w:rPr>
                <w:rFonts w:ascii="Garamond" w:eastAsia="Calibri" w:hAnsi="Garamond" w:cs="Times New Roman"/>
                <w:position w:val="8"/>
                <w:sz w:val="20"/>
                <w:szCs w:val="20"/>
              </w:rPr>
              <w:t xml:space="preserve"> </w:t>
            </w:r>
            <w:r w:rsidRPr="007376A4">
              <w:rPr>
                <w:rFonts w:ascii="Garamond" w:eastAsia="Calibri" w:hAnsi="Garamond"/>
                <w:sz w:val="20"/>
                <w:szCs w:val="20"/>
              </w:rPr>
              <w:t>issued in terms of the Public Finance Management Act, 1999 (PFMA). Furthermore</w:t>
            </w:r>
            <w:r w:rsidRPr="007376A4">
              <w:rPr>
                <w:rFonts w:ascii="Garamond" w:eastAsia="Calibri" w:hAnsi="Garamond"/>
                <w:i/>
                <w:iCs/>
                <w:sz w:val="20"/>
                <w:szCs w:val="20"/>
              </w:rPr>
              <w:t xml:space="preserve">, </w:t>
            </w:r>
            <w:r w:rsidRPr="007376A4">
              <w:rPr>
                <w:rFonts w:ascii="Garamond" w:eastAsia="Calibri" w:hAnsi="Garamond"/>
                <w:sz w:val="20"/>
                <w:szCs w:val="20"/>
              </w:rPr>
              <w:t xml:space="preserve">National Treasury’s </w:t>
            </w:r>
            <w:r w:rsidRPr="007376A4">
              <w:rPr>
                <w:rFonts w:ascii="Garamond" w:eastAsia="Calibri" w:hAnsi="Garamond"/>
                <w:i/>
                <w:iCs/>
                <w:sz w:val="20"/>
                <w:szCs w:val="20"/>
              </w:rPr>
              <w:t xml:space="preserve">PPP Manual </w:t>
            </w:r>
            <w:r w:rsidRPr="007376A4">
              <w:rPr>
                <w:rFonts w:ascii="Garamond" w:eastAsia="Calibri" w:hAnsi="Garamond"/>
                <w:sz w:val="20"/>
                <w:szCs w:val="20"/>
              </w:rPr>
              <w:t xml:space="preserve">and </w:t>
            </w:r>
            <w:r w:rsidRPr="007376A4">
              <w:rPr>
                <w:rFonts w:ascii="Garamond" w:eastAsia="Calibri" w:hAnsi="Garamond"/>
                <w:i/>
                <w:iCs/>
                <w:sz w:val="20"/>
                <w:szCs w:val="20"/>
              </w:rPr>
              <w:t xml:space="preserve">Standardised PPP Provisions </w:t>
            </w:r>
            <w:r w:rsidRPr="007376A4">
              <w:rPr>
                <w:rFonts w:ascii="Garamond" w:eastAsia="Calibri" w:hAnsi="Garamond"/>
                <w:sz w:val="20"/>
                <w:szCs w:val="20"/>
              </w:rPr>
              <w:t>have been issued as PPP practice notes in terms of section 76(4)(g) of the PFMA to make the application of the PFMA and its regulations easier. Municipal PPPs are regulated under the Municipal Finance Management Act, 2003 (MFMA) and its regulations, and similar PPP guidance is being devised for this sphere of government.</w:t>
            </w:r>
            <w:r w:rsidRPr="007376A4">
              <w:rPr>
                <w:rStyle w:val="FootnoteReference"/>
                <w:rFonts w:ascii="Garamond" w:eastAsia="Calibri" w:hAnsi="Garamond" w:cs="Times"/>
                <w:sz w:val="20"/>
                <w:szCs w:val="20"/>
              </w:rPr>
              <w:footnoteReference w:id="73"/>
            </w:r>
          </w:p>
        </w:tc>
      </w:tr>
      <w:tr w:rsidR="00AD39D5" w:rsidRPr="00887510" w14:paraId="1846C680" w14:textId="77777777" w:rsidTr="00AD39D5">
        <w:tc>
          <w:tcPr>
            <w:tcW w:w="2047" w:type="dxa"/>
          </w:tcPr>
          <w:p w14:paraId="67747C3B"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Concession models used</w:t>
            </w:r>
          </w:p>
        </w:tc>
        <w:tc>
          <w:tcPr>
            <w:tcW w:w="6850" w:type="dxa"/>
          </w:tcPr>
          <w:p w14:paraId="7B25AA88" w14:textId="77777777" w:rsidR="00AD39D5"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A concession contract enables a private sector concessionaire to use a defined area of land and buildings within a protected area over 20 years, in return for payments of concession fees.  Typically the concessionaires may construct new infrastructure, or take over and upgrade existing facilities.   There are a series of obligations on concessionaires, which include financial terms, environmental management, and social objectives</w:t>
            </w:r>
            <w:r w:rsidRPr="007376A4">
              <w:rPr>
                <w:rStyle w:val="FootnoteReference"/>
                <w:rFonts w:ascii="Garamond" w:hAnsi="Garamond"/>
                <w:sz w:val="20"/>
                <w:szCs w:val="20"/>
              </w:rPr>
              <w:footnoteReference w:id="74"/>
            </w:r>
            <w:r w:rsidRPr="007376A4">
              <w:rPr>
                <w:rFonts w:ascii="Garamond" w:hAnsi="Garamond"/>
                <w:sz w:val="20"/>
                <w:szCs w:val="20"/>
              </w:rPr>
              <w:t>.  At the end of the concession period, ownership of all infrastructure reverts to the protected area agency (i.e. Build-Operate-Transfer: BOT)</w:t>
            </w:r>
          </w:p>
          <w:p w14:paraId="6A56A00B" w14:textId="761626C8"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Hunting is not allowed protected areas but there is a lively debate on private hunting on buffer zones</w:t>
            </w:r>
            <w:r w:rsidRPr="007376A4">
              <w:rPr>
                <w:rStyle w:val="FootnoteReference"/>
                <w:rFonts w:ascii="Garamond" w:hAnsi="Garamond"/>
                <w:sz w:val="20"/>
                <w:szCs w:val="20"/>
              </w:rPr>
              <w:footnoteReference w:id="75"/>
            </w:r>
            <w:r w:rsidRPr="007376A4">
              <w:rPr>
                <w:rFonts w:ascii="Garamond" w:hAnsi="Garamond"/>
                <w:sz w:val="20"/>
                <w:szCs w:val="20"/>
              </w:rPr>
              <w:t>.</w:t>
            </w:r>
          </w:p>
        </w:tc>
      </w:tr>
      <w:tr w:rsidR="00AD39D5" w:rsidRPr="00887510" w14:paraId="67A1337B" w14:textId="77777777" w:rsidTr="00AD39D5">
        <w:tc>
          <w:tcPr>
            <w:tcW w:w="2047" w:type="dxa"/>
          </w:tcPr>
          <w:p w14:paraId="6E39E3AE"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Examples of concession processes</w:t>
            </w:r>
          </w:p>
        </w:tc>
        <w:tc>
          <w:tcPr>
            <w:tcW w:w="6850" w:type="dxa"/>
          </w:tcPr>
          <w:p w14:paraId="35EE0CB3" w14:textId="4EAC907C" w:rsidR="00AD39D5" w:rsidRPr="007376A4" w:rsidRDefault="00AD39D5" w:rsidP="007376A4">
            <w:pPr>
              <w:spacing w:before="0" w:after="0" w:line="240" w:lineRule="auto"/>
              <w:rPr>
                <w:rFonts w:ascii="Garamond" w:eastAsiaTheme="minorEastAsia" w:hAnsi="Garamond"/>
                <w:sz w:val="20"/>
                <w:szCs w:val="20"/>
              </w:rPr>
            </w:pPr>
            <w:r w:rsidRPr="007376A4">
              <w:rPr>
                <w:rFonts w:ascii="Garamond" w:eastAsiaTheme="minorEastAsia" w:hAnsi="Garamond"/>
                <w:sz w:val="20"/>
                <w:szCs w:val="20"/>
              </w:rPr>
              <w:t>Open tender process</w:t>
            </w:r>
          </w:p>
          <w:p w14:paraId="26F31FBC" w14:textId="77777777"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South African National Parks (SANParks) is the parastatal (state owned enterprise) authority in charge of managing national parks. Since 2000, SANParks’ powers have included granting contracts, for both Build Operate and Transfer (BOT) type and operational concessions according to park management plans and strategic plans for commercialization which are an integral part thereof, both awarded at the provincial level and under Public-Private-Partnership (PPP) regulations administered by the National Treasury</w:t>
            </w:r>
            <w:r w:rsidRPr="007376A4">
              <w:rPr>
                <w:rStyle w:val="FootnoteReference"/>
                <w:rFonts w:ascii="Garamond" w:hAnsi="Garamond"/>
                <w:sz w:val="20"/>
                <w:szCs w:val="20"/>
              </w:rPr>
              <w:footnoteReference w:id="76"/>
            </w:r>
            <w:r w:rsidRPr="007376A4">
              <w:rPr>
                <w:rFonts w:ascii="Garamond" w:hAnsi="Garamond"/>
                <w:sz w:val="20"/>
                <w:szCs w:val="20"/>
              </w:rPr>
              <w:t xml:space="preserve">. </w:t>
            </w:r>
          </w:p>
          <w:p w14:paraId="3DE0797B" w14:textId="5B0965B5"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Concession planning gives special attention is now given to the active participation of local communities, legally empowered to become responsible for the development and management of tourism lodges in PAs. This movement was strengthened with the entering into force of the black economic empowerment overarching policy in 2004.</w:t>
            </w:r>
            <w:r w:rsidRPr="007376A4">
              <w:rPr>
                <w:rStyle w:val="FootnoteReference"/>
                <w:rFonts w:ascii="Garamond" w:hAnsi="Garamond"/>
                <w:sz w:val="20"/>
                <w:szCs w:val="20"/>
              </w:rPr>
              <w:t xml:space="preserve"> </w:t>
            </w:r>
            <w:r w:rsidRPr="007376A4">
              <w:rPr>
                <w:rStyle w:val="FootnoteReference"/>
                <w:rFonts w:ascii="Garamond" w:hAnsi="Garamond"/>
                <w:sz w:val="20"/>
                <w:szCs w:val="20"/>
              </w:rPr>
              <w:footnoteReference w:id="77"/>
            </w:r>
          </w:p>
        </w:tc>
      </w:tr>
      <w:tr w:rsidR="00AD39D5" w:rsidRPr="00887510" w14:paraId="17E4240D" w14:textId="77777777" w:rsidTr="00AD39D5">
        <w:tc>
          <w:tcPr>
            <w:tcW w:w="2047" w:type="dxa"/>
          </w:tcPr>
          <w:p w14:paraId="2E40E0AF" w14:textId="0DD3C84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Tourism investment guidelines in PAs</w:t>
            </w:r>
          </w:p>
        </w:tc>
        <w:tc>
          <w:tcPr>
            <w:tcW w:w="6850" w:type="dxa"/>
          </w:tcPr>
          <w:p w14:paraId="09F85BBD" w14:textId="7A7801B4" w:rsidR="007376A4" w:rsidRPr="007376A4" w:rsidRDefault="007376A4" w:rsidP="007376A4">
            <w:pPr>
              <w:spacing w:before="0" w:after="0" w:line="240" w:lineRule="auto"/>
              <w:rPr>
                <w:rFonts w:ascii="Garamond" w:hAnsi="Garamond"/>
                <w:sz w:val="20"/>
                <w:szCs w:val="20"/>
              </w:rPr>
            </w:pPr>
            <w:r w:rsidRPr="007376A4">
              <w:rPr>
                <w:rFonts w:ascii="Garamond" w:hAnsi="Garamond"/>
                <w:sz w:val="20"/>
                <w:szCs w:val="20"/>
              </w:rPr>
              <w:t>National Treasury (2004) Public Private Partnership Manual: National Treasury PPP Practice notes issued in terms of the Public Finance Management Act, National Treasury PPP unit</w:t>
            </w:r>
          </w:p>
        </w:tc>
      </w:tr>
      <w:tr w:rsidR="00AD39D5" w:rsidRPr="00887510" w14:paraId="1E5055A3" w14:textId="77777777" w:rsidTr="00AD39D5">
        <w:tc>
          <w:tcPr>
            <w:tcW w:w="2047" w:type="dxa"/>
          </w:tcPr>
          <w:p w14:paraId="2647B7A7"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Concession manuals and tools</w:t>
            </w:r>
          </w:p>
        </w:tc>
        <w:tc>
          <w:tcPr>
            <w:tcW w:w="6850" w:type="dxa"/>
          </w:tcPr>
          <w:p w14:paraId="285D4C99" w14:textId="0602584F" w:rsidR="00AD39D5"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National Treasury (2004) Public Private Partnership Manual: National Treasury PPP Practice notes issued in terms of the Public Finance Management Act, National Treasury PPP unit</w:t>
            </w:r>
          </w:p>
        </w:tc>
      </w:tr>
      <w:tr w:rsidR="00AD39D5" w:rsidRPr="00887510" w14:paraId="5E95E766" w14:textId="77777777" w:rsidTr="00AD39D5">
        <w:tc>
          <w:tcPr>
            <w:tcW w:w="2047" w:type="dxa"/>
          </w:tcPr>
          <w:p w14:paraId="0AF20FB5"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Highly effective concession processes</w:t>
            </w:r>
          </w:p>
        </w:tc>
        <w:tc>
          <w:tcPr>
            <w:tcW w:w="6850" w:type="dxa"/>
          </w:tcPr>
          <w:p w14:paraId="41A8F882" w14:textId="77777777" w:rsidR="00AD39D5" w:rsidRDefault="00AD39D5" w:rsidP="007376A4">
            <w:pPr>
              <w:spacing w:before="0" w:after="0" w:line="240" w:lineRule="auto"/>
              <w:rPr>
                <w:rFonts w:ascii="Garamond" w:hAnsi="Garamond"/>
                <w:sz w:val="20"/>
                <w:szCs w:val="20"/>
              </w:rPr>
            </w:pPr>
            <w:r w:rsidRPr="007376A4">
              <w:rPr>
                <w:rFonts w:ascii="Garamond" w:hAnsi="Garamond"/>
                <w:sz w:val="20"/>
                <w:szCs w:val="20"/>
              </w:rPr>
              <w:t>Clear and transparent tender process</w:t>
            </w:r>
            <w:r w:rsidR="007376A4">
              <w:rPr>
                <w:rFonts w:ascii="Garamond" w:hAnsi="Garamond"/>
                <w:sz w:val="20"/>
                <w:szCs w:val="20"/>
              </w:rPr>
              <w:t>.</w:t>
            </w:r>
          </w:p>
          <w:p w14:paraId="104C4150" w14:textId="33941EA0" w:rsidR="007376A4" w:rsidRPr="007376A4" w:rsidRDefault="007376A4" w:rsidP="007376A4">
            <w:pPr>
              <w:spacing w:before="0" w:after="0" w:line="240" w:lineRule="auto"/>
              <w:rPr>
                <w:rFonts w:ascii="Garamond" w:hAnsi="Garamond"/>
                <w:sz w:val="20"/>
                <w:szCs w:val="20"/>
              </w:rPr>
            </w:pPr>
            <w:r>
              <w:rPr>
                <w:rFonts w:ascii="Garamond" w:hAnsi="Garamond"/>
                <w:sz w:val="20"/>
                <w:szCs w:val="20"/>
              </w:rPr>
              <w:t xml:space="preserve">Clear tools and templates. </w:t>
            </w:r>
          </w:p>
          <w:p w14:paraId="03513CCB" w14:textId="5467B32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Over a decade of experience managing concession contracts (high value)</w:t>
            </w:r>
            <w:r w:rsidR="007376A4">
              <w:rPr>
                <w:rFonts w:ascii="Garamond" w:hAnsi="Garamond"/>
                <w:sz w:val="20"/>
                <w:szCs w:val="20"/>
              </w:rPr>
              <w:t>.</w:t>
            </w:r>
          </w:p>
        </w:tc>
      </w:tr>
      <w:tr w:rsidR="00AD39D5" w:rsidRPr="00887510" w14:paraId="3618D9AC" w14:textId="77777777" w:rsidTr="00AD39D5">
        <w:tc>
          <w:tcPr>
            <w:tcW w:w="2047" w:type="dxa"/>
          </w:tcPr>
          <w:p w14:paraId="37DB21FA" w14:textId="58724A2A"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Lessons learned</w:t>
            </w:r>
          </w:p>
        </w:tc>
        <w:tc>
          <w:tcPr>
            <w:tcW w:w="6850" w:type="dxa"/>
          </w:tcPr>
          <w:p w14:paraId="68C76ECB" w14:textId="65020224"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Several case studies and papers written on SANParks</w:t>
            </w:r>
            <w:r w:rsidR="00A03144" w:rsidRPr="007376A4">
              <w:rPr>
                <w:rFonts w:ascii="Garamond" w:hAnsi="Garamond"/>
                <w:sz w:val="20"/>
                <w:szCs w:val="20"/>
              </w:rPr>
              <w:t xml:space="preserve"> PPP</w:t>
            </w:r>
            <w:r w:rsidRPr="007376A4">
              <w:rPr>
                <w:rFonts w:ascii="Garamond" w:hAnsi="Garamond"/>
                <w:sz w:val="20"/>
                <w:szCs w:val="20"/>
              </w:rPr>
              <w:t xml:space="preserve"> process:</w:t>
            </w:r>
          </w:p>
          <w:p w14:paraId="0156F397" w14:textId="2F58E373" w:rsidR="00AD39D5" w:rsidRPr="007376A4" w:rsidRDefault="00A03144" w:rsidP="007376A4">
            <w:pPr>
              <w:spacing w:before="0" w:after="0" w:line="240" w:lineRule="auto"/>
              <w:rPr>
                <w:rFonts w:ascii="Garamond" w:hAnsi="Garamond"/>
                <w:sz w:val="20"/>
                <w:szCs w:val="20"/>
              </w:rPr>
            </w:pPr>
            <w:r w:rsidRPr="007376A4">
              <w:rPr>
                <w:rFonts w:ascii="Garamond" w:hAnsi="Garamond"/>
                <w:sz w:val="20"/>
                <w:szCs w:val="20"/>
              </w:rPr>
              <w:t>De la Harpe, D., Fernhead, P., Hughes, G., Davies, R., Spenceley, A., Barnes, J., Cooper, J. and Child, B. (2004</w:t>
            </w:r>
            <w:r w:rsidR="00AD39D5" w:rsidRPr="007376A4">
              <w:rPr>
                <w:rFonts w:ascii="Garamond" w:hAnsi="Garamond"/>
                <w:sz w:val="20"/>
                <w:szCs w:val="20"/>
              </w:rPr>
              <w:t xml:space="preserve">) </w:t>
            </w:r>
            <w:r w:rsidRPr="007376A4">
              <w:rPr>
                <w:rFonts w:ascii="Garamond" w:hAnsi="Garamond"/>
                <w:sz w:val="20"/>
                <w:szCs w:val="20"/>
              </w:rPr>
              <w:t>Does commercialization of protected areas threaten their conservation goals? In Child, B. (ed) Parks in Transition, Earthscan</w:t>
            </w:r>
          </w:p>
          <w:p w14:paraId="7FCBA631" w14:textId="3D08DBF2"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Varghese, G. (2008)</w:t>
            </w:r>
            <w:r w:rsidR="00A03144" w:rsidRPr="007376A4">
              <w:rPr>
                <w:rFonts w:ascii="Garamond" w:hAnsi="Garamond"/>
                <w:sz w:val="20"/>
                <w:szCs w:val="20"/>
              </w:rPr>
              <w:t xml:space="preserve"> Public private partnerships in South African National Parks: The rationale, Benefits and lessons learned, In </w:t>
            </w:r>
            <w:r w:rsidR="009B0739" w:rsidRPr="007376A4">
              <w:rPr>
                <w:rFonts w:ascii="Garamond" w:hAnsi="Garamond"/>
                <w:sz w:val="20"/>
                <w:szCs w:val="20"/>
              </w:rPr>
              <w:t>Spenceley, A. (ed) Responsible tourism: critical issues for conservation and development, Earthscan</w:t>
            </w:r>
          </w:p>
          <w:p w14:paraId="4CC6AE0F" w14:textId="17EAAD81" w:rsidR="00A03144" w:rsidRPr="007376A4" w:rsidRDefault="00A03144" w:rsidP="007376A4">
            <w:pPr>
              <w:spacing w:before="0" w:after="0" w:line="240" w:lineRule="auto"/>
              <w:rPr>
                <w:rFonts w:ascii="Garamond" w:hAnsi="Garamond"/>
                <w:sz w:val="20"/>
                <w:szCs w:val="20"/>
              </w:rPr>
            </w:pPr>
            <w:r w:rsidRPr="007376A4">
              <w:rPr>
                <w:rFonts w:ascii="Garamond" w:hAnsi="Garamond"/>
                <w:sz w:val="20"/>
                <w:szCs w:val="20"/>
              </w:rPr>
              <w:t>Spenceley, A. (2004) Responsible nature based tourism planning in South Africa and the commercialization of Kruger National Park, In Diamantis, D. (ed) Ecotourism, Thomson.</w:t>
            </w:r>
          </w:p>
          <w:p w14:paraId="4AC52DD6" w14:textId="60EBC9BC" w:rsidR="009B0739" w:rsidRPr="007376A4" w:rsidRDefault="009B0739" w:rsidP="007376A4">
            <w:pPr>
              <w:spacing w:before="0" w:after="0" w:line="240" w:lineRule="auto"/>
              <w:rPr>
                <w:rFonts w:ascii="Garamond" w:hAnsi="Garamond"/>
                <w:color w:val="4F81BD" w:themeColor="accent1"/>
                <w:sz w:val="20"/>
                <w:szCs w:val="20"/>
              </w:rPr>
            </w:pPr>
            <w:r w:rsidRPr="007376A4">
              <w:rPr>
                <w:rFonts w:ascii="Garamond" w:hAnsi="Garamond"/>
                <w:sz w:val="20"/>
                <w:szCs w:val="20"/>
              </w:rPr>
              <w:t xml:space="preserve">Concession contract management and monitoring: SANParks: </w:t>
            </w:r>
            <w:hyperlink r:id="rId193" w:history="1">
              <w:r w:rsidRPr="007376A4">
                <w:rPr>
                  <w:rStyle w:val="Hyperlink"/>
                  <w:rFonts w:ascii="Garamond" w:hAnsi="Garamond"/>
                  <w:sz w:val="20"/>
                  <w:szCs w:val="20"/>
                </w:rPr>
                <w:t>http://www.slideshare.net/AnnaSpenceley/south-african-national-parks-concessions-processes-giju-varghese</w:t>
              </w:r>
            </w:hyperlink>
          </w:p>
          <w:p w14:paraId="097C4CAD" w14:textId="6C78BF5F"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Public private partnerships – SANParks – the Rationale, benefits (from a constituency building perspective): http://www.slideshare.net/AnnaSpenceley/san-parks-contract-management-giju-varghese</w:t>
            </w:r>
          </w:p>
          <w:p w14:paraId="6CB35034" w14:textId="4B039F4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 xml:space="preserve">Experience in the development (incubation) of transboundary events with Namibia, Botswana, Zimbabwe and Mozambique. E.g. Tour de Tuli; </w:t>
            </w:r>
            <w:r w:rsidR="00A03144" w:rsidRPr="007376A4">
              <w:rPr>
                <w:rFonts w:ascii="Garamond" w:hAnsi="Garamond"/>
                <w:sz w:val="20"/>
                <w:szCs w:val="20"/>
              </w:rPr>
              <w:t xml:space="preserve">Tour de Limpopo; Desert Knights. </w:t>
            </w:r>
          </w:p>
        </w:tc>
      </w:tr>
    </w:tbl>
    <w:p w14:paraId="45440E7D" w14:textId="5EECB24A" w:rsidR="00AD39D5" w:rsidRPr="00AD39D5" w:rsidRDefault="00AD39D5" w:rsidP="004F2352">
      <w:pPr>
        <w:widowControl w:val="0"/>
        <w:autoSpaceDE w:val="0"/>
        <w:autoSpaceDN w:val="0"/>
        <w:adjustRightInd w:val="0"/>
        <w:spacing w:after="240"/>
        <w:rPr>
          <w:rFonts w:ascii="Garamond" w:hAnsi="Garamond" w:cs="Times"/>
          <w:b/>
        </w:rPr>
      </w:pPr>
      <w:r w:rsidRPr="00AD39D5">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4F2352" w:rsidRPr="006311F5" w14:paraId="44D92675" w14:textId="77777777" w:rsidTr="004F2352">
        <w:tc>
          <w:tcPr>
            <w:tcW w:w="2093" w:type="dxa"/>
          </w:tcPr>
          <w:p w14:paraId="68A2546F"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368E19C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048030B4"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O R Tambo International airport near Johannesburg has again won the best airport in Africa World Travel Awards 2012. Cape Town and Durban also receive visitors through their international airports.</w:t>
            </w:r>
          </w:p>
        </w:tc>
      </w:tr>
      <w:tr w:rsidR="004F2352" w:rsidRPr="006311F5" w14:paraId="261A55E4" w14:textId="77777777" w:rsidTr="004F2352">
        <w:tc>
          <w:tcPr>
            <w:tcW w:w="2093" w:type="dxa"/>
          </w:tcPr>
          <w:p w14:paraId="59A531C4"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6763" w:type="dxa"/>
          </w:tcPr>
          <w:p w14:paraId="31730F2F"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South African Airways</w:t>
            </w:r>
          </w:p>
        </w:tc>
      </w:tr>
      <w:tr w:rsidR="004F2352" w:rsidRPr="006311F5" w14:paraId="3E314DB2" w14:textId="77777777" w:rsidTr="004F2352">
        <w:tc>
          <w:tcPr>
            <w:tcW w:w="2093" w:type="dxa"/>
          </w:tcPr>
          <w:p w14:paraId="5B5DE12C"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6763" w:type="dxa"/>
          </w:tcPr>
          <w:p w14:paraId="3B942A8E"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w:t>
            </w:r>
          </w:p>
        </w:tc>
      </w:tr>
      <w:tr w:rsidR="004F2352" w:rsidRPr="006311F5" w14:paraId="1F935CAE" w14:textId="77777777" w:rsidTr="004F2352">
        <w:tc>
          <w:tcPr>
            <w:tcW w:w="2093" w:type="dxa"/>
          </w:tcPr>
          <w:p w14:paraId="047E83C7"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0492222B"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3579ED"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 country has invested a considerable amount of money to upgrade and support its telecommunications infrastructure as well as providing services to its accommodation sector.</w:t>
            </w:r>
          </w:p>
        </w:tc>
      </w:tr>
      <w:tr w:rsidR="004F2352" w:rsidRPr="006311F5" w14:paraId="64F342E1" w14:textId="77777777" w:rsidTr="004F2352">
        <w:tc>
          <w:tcPr>
            <w:tcW w:w="2093" w:type="dxa"/>
          </w:tcPr>
          <w:p w14:paraId="7357421E"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6763" w:type="dxa"/>
          </w:tcPr>
          <w:p w14:paraId="759080F7" w14:textId="77777777" w:rsidR="004F2352" w:rsidRPr="006311F5" w:rsidRDefault="004F2352" w:rsidP="004F2352">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28% corporate tax. </w:t>
            </w:r>
          </w:p>
          <w:p w14:paraId="43B07E8A"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15% withholding tax on dividends declared which can be reduced in terms of an appropriated double taxation agreement.</w:t>
            </w:r>
          </w:p>
        </w:tc>
      </w:tr>
      <w:tr w:rsidR="004F2352" w:rsidRPr="006311F5" w14:paraId="2DF9A360" w14:textId="77777777" w:rsidTr="004F2352">
        <w:tc>
          <w:tcPr>
            <w:tcW w:w="2093" w:type="dxa"/>
          </w:tcPr>
          <w:p w14:paraId="6359AE44"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p w14:paraId="027F6290"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6BF4EB74"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Remittance of funds transactions and exchange controls are regulated by the South African Reserve Bank. Prior approval for investments should be obtained for investments or placed on record to enable remittance of funds. In principle, dividends declared by South African subsidiaries of foreign companies, and profits distributed by a branch of a foreign company operating in South Africa, may be remitted abroad.</w:t>
            </w:r>
          </w:p>
        </w:tc>
      </w:tr>
      <w:tr w:rsidR="004F2352" w:rsidRPr="006311F5" w14:paraId="6DD66DA5" w14:textId="77777777" w:rsidTr="004F2352">
        <w:tc>
          <w:tcPr>
            <w:tcW w:w="2093" w:type="dxa"/>
          </w:tcPr>
          <w:p w14:paraId="5CFD695F"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6763" w:type="dxa"/>
          </w:tcPr>
          <w:p w14:paraId="00C05701"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South Africa offers an array of incentive schemes aimed at supporting the development and growth of commercially viable and sustainable enterprises through the provision of either funding or tax relief, thereby ensuring the creation of new and sustainable jobs. Further details on specific incentives can be accessed at www.investmentincentives.co.za.</w:t>
            </w:r>
          </w:p>
        </w:tc>
      </w:tr>
      <w:tr w:rsidR="004F2352" w:rsidRPr="006311F5" w14:paraId="2CF7146B" w14:textId="77777777" w:rsidTr="004F2352">
        <w:tc>
          <w:tcPr>
            <w:tcW w:w="2093" w:type="dxa"/>
          </w:tcPr>
          <w:p w14:paraId="56393A31"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6763" w:type="dxa"/>
          </w:tcPr>
          <w:p w14:paraId="6C7A5AB7"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Tourism Enterprise Partnership (TEP) is the operating entity for Strategic Partners in Tourism, a Non-Profit Company (NPC) that utilises funding from Corporate South Africa and Government to facilitate the growth, development and sustainability of small tourism businesses in South Africa. Further detail is available on the website at www.tep.co.za.</w:t>
            </w:r>
          </w:p>
        </w:tc>
      </w:tr>
      <w:tr w:rsidR="004F2352" w:rsidRPr="006311F5" w14:paraId="5DEC7505" w14:textId="77777777" w:rsidTr="004F2352">
        <w:tc>
          <w:tcPr>
            <w:tcW w:w="2093" w:type="dxa"/>
          </w:tcPr>
          <w:p w14:paraId="1DD7231E"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6763" w:type="dxa"/>
          </w:tcPr>
          <w:p w14:paraId="616AEBFF"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No specific requirement although investors need to pay attention to South Africa's Broad Based Black Economic Empowerment legislation and understand the requirements that this places on business.</w:t>
            </w:r>
          </w:p>
        </w:tc>
      </w:tr>
      <w:tr w:rsidR="004F2352" w:rsidRPr="006311F5" w14:paraId="707FE7FC" w14:textId="77777777" w:rsidTr="004F2352">
        <w:tc>
          <w:tcPr>
            <w:tcW w:w="2093" w:type="dxa"/>
          </w:tcPr>
          <w:p w14:paraId="5352236C"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6763" w:type="dxa"/>
          </w:tcPr>
          <w:p w14:paraId="1125C193"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Currently foreigners are allowed to own land in South Africa. The Green Paper on Land Reform does however propose a limitation on foreign land ownership in South Africa to a leasehold of a minimum of 30 years.</w:t>
            </w:r>
          </w:p>
        </w:tc>
      </w:tr>
      <w:tr w:rsidR="004F2352" w:rsidRPr="006311F5" w14:paraId="6C8D3E7B" w14:textId="77777777" w:rsidTr="004F2352">
        <w:tc>
          <w:tcPr>
            <w:tcW w:w="2093" w:type="dxa"/>
          </w:tcPr>
          <w:p w14:paraId="75F3A89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1F98181B"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8E17689"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Work permits are issued to foreigners where South African citizens with the relevant skills are not available for appointment. The South African Department of Trade and Industry has a Facilitation Unit which assists with work permits related to an investment requiring expatriate staff for the start-up or implementation of the project.</w:t>
            </w:r>
          </w:p>
        </w:tc>
      </w:tr>
      <w:tr w:rsidR="004F2352" w:rsidRPr="006311F5" w14:paraId="5ABF867A" w14:textId="77777777" w:rsidTr="004F2352">
        <w:tc>
          <w:tcPr>
            <w:tcW w:w="2093" w:type="dxa"/>
          </w:tcPr>
          <w:p w14:paraId="01A2F74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6763" w:type="dxa"/>
          </w:tcPr>
          <w:p w14:paraId="63F57612"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South Africa is a member of the World Bank's Multilateral Investment Guarantee Agency, MIGA, and is a signatory to the Overseas Private Investment Corporation (OPIC).</w:t>
            </w:r>
          </w:p>
        </w:tc>
      </w:tr>
    </w:tbl>
    <w:p w14:paraId="391AD0F4" w14:textId="2950762C" w:rsidR="00F50142" w:rsidRPr="006311F5" w:rsidRDefault="004F2352" w:rsidP="007376A4">
      <w:pPr>
        <w:spacing w:before="0" w:after="0" w:line="240" w:lineRule="auto"/>
        <w:jc w:val="left"/>
        <w:rPr>
          <w:rFonts w:ascii="Garamond" w:hAnsi="Garamond"/>
        </w:rPr>
      </w:pPr>
      <w:r w:rsidRPr="006311F5">
        <w:rPr>
          <w:rFonts w:ascii="Garamond" w:hAnsi="Garamond"/>
        </w:rPr>
        <w:t>Source: RETOSA 2014, pp70-72</w:t>
      </w:r>
    </w:p>
    <w:p w14:paraId="1FAD0B9D" w14:textId="77777777" w:rsidR="00221E17" w:rsidRPr="006311F5" w:rsidRDefault="00221E17" w:rsidP="00221E17">
      <w:pPr>
        <w:spacing w:line="240" w:lineRule="auto"/>
        <w:rPr>
          <w:rFonts w:ascii="Garamond" w:hAnsi="Garamond"/>
          <w:sz w:val="24"/>
          <w:szCs w:val="24"/>
        </w:rPr>
      </w:pPr>
    </w:p>
    <w:p w14:paraId="4CA35469" w14:textId="77777777" w:rsidR="00221E17" w:rsidRPr="006311F5" w:rsidRDefault="00221E17" w:rsidP="00221E17">
      <w:pPr>
        <w:pStyle w:val="Heading3"/>
        <w:rPr>
          <w:rFonts w:ascii="Garamond" w:hAnsi="Garamond"/>
        </w:rPr>
      </w:pPr>
      <w:bookmarkStart w:id="95" w:name="_Toc269636370"/>
      <w:r w:rsidRPr="006311F5">
        <w:rPr>
          <w:rFonts w:ascii="Garamond" w:hAnsi="Garamond"/>
        </w:rPr>
        <w:t>swaziland</w:t>
      </w:r>
      <w:bookmarkEnd w:id="95"/>
    </w:p>
    <w:p w14:paraId="5FD49B8A" w14:textId="069A1AC0" w:rsidR="00E010EA" w:rsidRPr="00E010EA" w:rsidRDefault="00E010EA" w:rsidP="00E010EA">
      <w:pPr>
        <w:rPr>
          <w:rFonts w:ascii="Garamond" w:hAnsi="Garamond"/>
          <w:b/>
          <w:sz w:val="20"/>
          <w:szCs w:val="20"/>
        </w:rPr>
      </w:pPr>
      <w:r w:rsidRPr="00E010EA">
        <w:rPr>
          <w:rFonts w:ascii="Garamond" w:hAnsi="Garamond"/>
          <w:b/>
          <w:sz w:val="20"/>
          <w:szCs w:val="20"/>
        </w:rPr>
        <w:t>Concession information</w:t>
      </w:r>
    </w:p>
    <w:tbl>
      <w:tblPr>
        <w:tblStyle w:val="TableGrid"/>
        <w:tblW w:w="0" w:type="auto"/>
        <w:tblLook w:val="04A0" w:firstRow="1" w:lastRow="0" w:firstColumn="1" w:lastColumn="0" w:noHBand="0" w:noVBand="1"/>
      </w:tblPr>
      <w:tblGrid>
        <w:gridCol w:w="2047"/>
        <w:gridCol w:w="6850"/>
      </w:tblGrid>
      <w:tr w:rsidR="00E010EA" w:rsidRPr="00E010EA" w14:paraId="02FFEDFC" w14:textId="77777777" w:rsidTr="00E010EA">
        <w:tc>
          <w:tcPr>
            <w:tcW w:w="2047" w:type="dxa"/>
          </w:tcPr>
          <w:p w14:paraId="7A5FE461"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Relevant policies, strategies and legislation</w:t>
            </w:r>
          </w:p>
        </w:tc>
        <w:tc>
          <w:tcPr>
            <w:tcW w:w="6850" w:type="dxa"/>
          </w:tcPr>
          <w:p w14:paraId="4398EAA1"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Land concessions on Swazi National Land (communal land held by the King in trust for the nation) are governed by the Land Concession Order of 1973. Other than the aforementioned, there are no specific guidelines on concessions in Swaziland. Obtaining concessions within the property of the Swaziland National Trust Commission (the authority mandated to proclaim and manage protected areas) is also negotiable and can be done directly through them. (Deloitte 2008:116).</w:t>
            </w:r>
          </w:p>
          <w:p w14:paraId="5C6DFFEC" w14:textId="09276D4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The Land Policy is still under development which will be the framework on land</w:t>
            </w:r>
            <w:r w:rsidR="00BA0DF9">
              <w:rPr>
                <w:rFonts w:ascii="Garamond" w:eastAsiaTheme="minorEastAsia" w:hAnsi="Garamond" w:cs="Times"/>
                <w:sz w:val="20"/>
                <w:szCs w:val="20"/>
              </w:rPr>
              <w:t xml:space="preserve"> </w:t>
            </w:r>
            <w:r w:rsidRPr="00E010EA">
              <w:rPr>
                <w:rFonts w:ascii="Garamond" w:eastAsiaTheme="minorEastAsia" w:hAnsi="Garamond" w:cs="Times"/>
                <w:sz w:val="20"/>
                <w:szCs w:val="20"/>
              </w:rPr>
              <w:t xml:space="preserve">use and development </w:t>
            </w:r>
          </w:p>
        </w:tc>
      </w:tr>
      <w:tr w:rsidR="00E010EA" w:rsidRPr="00E010EA" w14:paraId="20334294" w14:textId="77777777" w:rsidTr="00E010EA">
        <w:tc>
          <w:tcPr>
            <w:tcW w:w="2047" w:type="dxa"/>
          </w:tcPr>
          <w:p w14:paraId="2F598995"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Concession models used</w:t>
            </w:r>
          </w:p>
        </w:tc>
        <w:tc>
          <w:tcPr>
            <w:tcW w:w="6850" w:type="dxa"/>
          </w:tcPr>
          <w:p w14:paraId="18FFD2FB"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(e.g. management contracts; leases; concessions (Build operate transfer; rehabilitate operate transfer etc)</w:t>
            </w:r>
          </w:p>
          <w:p w14:paraId="294D93FE"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tc>
      </w:tr>
      <w:tr w:rsidR="00E010EA" w:rsidRPr="00E010EA" w14:paraId="7DA6A500" w14:textId="77777777" w:rsidTr="00E010EA">
        <w:tc>
          <w:tcPr>
            <w:tcW w:w="2047" w:type="dxa"/>
          </w:tcPr>
          <w:p w14:paraId="698DF04B"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Examples of concession processes</w:t>
            </w:r>
          </w:p>
        </w:tc>
        <w:tc>
          <w:tcPr>
            <w:tcW w:w="6850" w:type="dxa"/>
          </w:tcPr>
          <w:p w14:paraId="054866DC"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(e.g. Tender process/auction/direct negotiations)</w:t>
            </w:r>
          </w:p>
          <w:p w14:paraId="459EB1D4"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 xml:space="preserve">Swaziland currently has no concessions in process </w:t>
            </w:r>
          </w:p>
          <w:p w14:paraId="7418FCC9"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hAnsi="Garamond" w:cs="Times"/>
                <w:sz w:val="20"/>
                <w:szCs w:val="20"/>
              </w:rPr>
              <w:t xml:space="preserve">Ebutsini 4x4 trail – </w:t>
            </w:r>
            <w:r w:rsidRPr="00E010EA">
              <w:rPr>
                <w:rFonts w:ascii="Garamond" w:hAnsi="Garamond" w:cs="Times"/>
                <w:sz w:val="20"/>
                <w:szCs w:val="20"/>
                <w:highlight w:val="yellow"/>
              </w:rPr>
              <w:t>what progress/process?</w:t>
            </w:r>
          </w:p>
        </w:tc>
      </w:tr>
      <w:tr w:rsidR="00E010EA" w:rsidRPr="00E010EA" w14:paraId="688F5DA2" w14:textId="77777777" w:rsidTr="00E010EA">
        <w:tc>
          <w:tcPr>
            <w:tcW w:w="2047" w:type="dxa"/>
          </w:tcPr>
          <w:p w14:paraId="7D14E61C"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Tourism investment guidelines in PAs</w:t>
            </w:r>
          </w:p>
        </w:tc>
        <w:tc>
          <w:tcPr>
            <w:tcW w:w="6850" w:type="dxa"/>
          </w:tcPr>
          <w:p w14:paraId="680D7D5E"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The Swaziland Investment Promotion Authority provides facilitation services with regards to hosting all qualifying investments in Swaziland.</w:t>
            </w:r>
          </w:p>
        </w:tc>
      </w:tr>
      <w:tr w:rsidR="00E010EA" w:rsidRPr="00E010EA" w14:paraId="1B3DE921" w14:textId="77777777" w:rsidTr="00E010EA">
        <w:tc>
          <w:tcPr>
            <w:tcW w:w="2047" w:type="dxa"/>
          </w:tcPr>
          <w:p w14:paraId="5F07EB90"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Concession manuals and tools</w:t>
            </w:r>
          </w:p>
        </w:tc>
        <w:tc>
          <w:tcPr>
            <w:tcW w:w="6850" w:type="dxa"/>
          </w:tcPr>
          <w:p w14:paraId="5F820D1D"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 xml:space="preserve">None </w:t>
            </w:r>
          </w:p>
        </w:tc>
      </w:tr>
      <w:tr w:rsidR="00E010EA" w:rsidRPr="00E010EA" w14:paraId="5B746E64" w14:textId="77777777" w:rsidTr="00E010EA">
        <w:tc>
          <w:tcPr>
            <w:tcW w:w="2047" w:type="dxa"/>
          </w:tcPr>
          <w:p w14:paraId="3125576E"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Highly effective concession processes</w:t>
            </w:r>
          </w:p>
        </w:tc>
        <w:tc>
          <w:tcPr>
            <w:tcW w:w="6850" w:type="dxa"/>
          </w:tcPr>
          <w:p w14:paraId="0097D288"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(i.e. for scaling up to other SADC countries)</w:t>
            </w:r>
          </w:p>
        </w:tc>
      </w:tr>
      <w:tr w:rsidR="00E010EA" w:rsidRPr="00E010EA" w14:paraId="60ADCCE3" w14:textId="77777777" w:rsidTr="00E010EA">
        <w:tc>
          <w:tcPr>
            <w:tcW w:w="2047" w:type="dxa"/>
          </w:tcPr>
          <w:p w14:paraId="1CBBDB02"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Lessons learned</w:t>
            </w:r>
          </w:p>
        </w:tc>
        <w:tc>
          <w:tcPr>
            <w:tcW w:w="6850" w:type="dxa"/>
          </w:tcPr>
          <w:p w14:paraId="6DCD9126"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(for guidelines)</w:t>
            </w:r>
          </w:p>
          <w:p w14:paraId="02464C34"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p w14:paraId="5DE621DC"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tc>
      </w:tr>
    </w:tbl>
    <w:p w14:paraId="4897F25E" w14:textId="7B774134" w:rsidR="00BA0DF9" w:rsidRPr="001262C2" w:rsidRDefault="001262C2" w:rsidP="001262C2">
      <w:pPr>
        <w:widowControl w:val="0"/>
        <w:autoSpaceDE w:val="0"/>
        <w:autoSpaceDN w:val="0"/>
        <w:adjustRightInd w:val="0"/>
        <w:spacing w:before="0" w:after="0" w:line="240" w:lineRule="auto"/>
        <w:rPr>
          <w:rFonts w:ascii="Garamond" w:hAnsi="Garamond" w:cs="Times"/>
          <w:sz w:val="20"/>
          <w:szCs w:val="20"/>
        </w:rPr>
      </w:pPr>
      <w:r>
        <w:rPr>
          <w:rFonts w:ascii="Garamond" w:hAnsi="Garamond" w:cs="Times"/>
          <w:sz w:val="20"/>
          <w:szCs w:val="20"/>
        </w:rPr>
        <w:t xml:space="preserve">Sources: </w:t>
      </w:r>
      <w:r w:rsidR="00BA0DF9" w:rsidRPr="001262C2">
        <w:rPr>
          <w:rFonts w:ascii="Garamond" w:hAnsi="Garamond" w:cs="Times"/>
          <w:sz w:val="20"/>
          <w:szCs w:val="20"/>
        </w:rPr>
        <w:t xml:space="preserve">Pers. Com. S. </w:t>
      </w:r>
      <w:r w:rsidRPr="001262C2">
        <w:rPr>
          <w:rFonts w:ascii="Garamond" w:hAnsi="Garamond" w:cs="Times"/>
          <w:sz w:val="20"/>
          <w:szCs w:val="20"/>
        </w:rPr>
        <w:t>Maphalala, Swaziland National Trust Commission, 2014</w:t>
      </w:r>
    </w:p>
    <w:p w14:paraId="30EA19D6" w14:textId="6100FC02" w:rsidR="00221E17" w:rsidRPr="00E010EA" w:rsidRDefault="00E010EA" w:rsidP="00221E17">
      <w:pPr>
        <w:widowControl w:val="0"/>
        <w:autoSpaceDE w:val="0"/>
        <w:autoSpaceDN w:val="0"/>
        <w:adjustRightInd w:val="0"/>
        <w:spacing w:after="240"/>
        <w:rPr>
          <w:rFonts w:ascii="Garamond" w:hAnsi="Garamond" w:cs="Times"/>
          <w:b/>
          <w:sz w:val="20"/>
          <w:szCs w:val="20"/>
        </w:rPr>
      </w:pPr>
      <w:r w:rsidRPr="00E010EA">
        <w:rPr>
          <w:rFonts w:ascii="Garamond" w:hAnsi="Garamond" w:cs="Times"/>
          <w:b/>
          <w:sz w:val="20"/>
          <w:szCs w:val="20"/>
        </w:rPr>
        <w:t>Investment information</w:t>
      </w:r>
    </w:p>
    <w:tbl>
      <w:tblPr>
        <w:tblStyle w:val="TableGrid"/>
        <w:tblW w:w="8897" w:type="dxa"/>
        <w:tblLayout w:type="fixed"/>
        <w:tblLook w:val="04A0" w:firstRow="1" w:lastRow="0" w:firstColumn="1" w:lastColumn="0" w:noHBand="0" w:noVBand="1"/>
      </w:tblPr>
      <w:tblGrid>
        <w:gridCol w:w="2093"/>
        <w:gridCol w:w="6804"/>
      </w:tblGrid>
      <w:tr w:rsidR="00221E17" w:rsidRPr="006311F5" w14:paraId="018ED18D" w14:textId="77777777" w:rsidTr="00221E17">
        <w:tc>
          <w:tcPr>
            <w:tcW w:w="2093" w:type="dxa"/>
          </w:tcPr>
          <w:p w14:paraId="05492BF5"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6327FD1D"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25A68D7E" w14:textId="734E6625"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Matsapha</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International</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Airport</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located</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Manzini.</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Swaziland</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is</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only</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accessible</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via</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OR</w:t>
            </w:r>
            <w:r w:rsidR="00E010EA">
              <w:rPr>
                <w:rFonts w:ascii="Garamond" w:eastAsiaTheme="minorEastAsia" w:hAnsi="Garamond" w:cs="Times"/>
                <w:sz w:val="20"/>
                <w:szCs w:val="20"/>
              </w:rPr>
              <w:t xml:space="preserve"> </w:t>
            </w:r>
            <w:r w:rsidRPr="001262C2">
              <w:rPr>
                <w:rFonts w:ascii="Garamond" w:eastAsiaTheme="minorEastAsia" w:hAnsi="Garamond" w:cs="Times"/>
                <w:sz w:val="20"/>
                <w:szCs w:val="20"/>
              </w:rPr>
              <w:t>Tambo</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International</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Airport</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 xml:space="preserve">in Johannesburg, South Africa on Swaziland Airlink. </w:t>
            </w:r>
            <w:r w:rsidR="001262C2" w:rsidRPr="001262C2">
              <w:rPr>
                <w:rFonts w:ascii="Garamond" w:eastAsiaTheme="minorEastAsia" w:hAnsi="Garamond" w:cs="Times"/>
                <w:sz w:val="20"/>
                <w:szCs w:val="20"/>
              </w:rPr>
              <w:t>The King Mswati III International Airport has just been officially launched and will replace Matsapha about 80 km outside of Mbabane.</w:t>
            </w:r>
          </w:p>
        </w:tc>
      </w:tr>
      <w:tr w:rsidR="00221E17" w:rsidRPr="006311F5" w14:paraId="68434165" w14:textId="77777777" w:rsidTr="00221E17">
        <w:tc>
          <w:tcPr>
            <w:tcW w:w="2093" w:type="dxa"/>
          </w:tcPr>
          <w:p w14:paraId="5F09B93B"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6804" w:type="dxa"/>
          </w:tcPr>
          <w:p w14:paraId="7EF7173B" w14:textId="3E800A2F"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Swaziland Airlink</w:t>
            </w:r>
            <w:r w:rsidR="001262C2">
              <w:rPr>
                <w:rFonts w:ascii="Garamond" w:eastAsiaTheme="minorEastAsia" w:hAnsi="Garamond" w:cs="Times"/>
                <w:sz w:val="20"/>
                <w:szCs w:val="20"/>
              </w:rPr>
              <w:t xml:space="preserve"> and Swaziland Railway</w:t>
            </w:r>
          </w:p>
        </w:tc>
      </w:tr>
      <w:tr w:rsidR="00221E17" w:rsidRPr="006311F5" w14:paraId="503BB634" w14:textId="77777777" w:rsidTr="00221E17">
        <w:tc>
          <w:tcPr>
            <w:tcW w:w="2093" w:type="dxa"/>
          </w:tcPr>
          <w:p w14:paraId="7730AF68"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6804" w:type="dxa"/>
          </w:tcPr>
          <w:p w14:paraId="491F48E1" w14:textId="42CA1324"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Swaziland is a small country with a good road infrastructure linking all major cities and towns in the country as well as providing links into neighbouring Mozambique and South Africa. There are various options on car hire and this is the best means of internal transport.</w:t>
            </w:r>
          </w:p>
        </w:tc>
      </w:tr>
      <w:tr w:rsidR="00221E17" w:rsidRPr="006311F5" w14:paraId="5AFB80EB" w14:textId="77777777" w:rsidTr="00221E17">
        <w:tc>
          <w:tcPr>
            <w:tcW w:w="2093" w:type="dxa"/>
          </w:tcPr>
          <w:p w14:paraId="1DC9DA42"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63C6E8FF"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60E5625D" w14:textId="77777777"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Mobile access is provided by the state company SPTC and MTN Swaziland. There are four registered Internet Service Providers in Swaziland and ADSL and 3G services are available.</w:t>
            </w:r>
          </w:p>
        </w:tc>
      </w:tr>
      <w:tr w:rsidR="00221E17" w:rsidRPr="006311F5" w14:paraId="2959AD02" w14:textId="77777777" w:rsidTr="00221E17">
        <w:tc>
          <w:tcPr>
            <w:tcW w:w="2093" w:type="dxa"/>
          </w:tcPr>
          <w:p w14:paraId="7D8DB03A"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6804" w:type="dxa"/>
          </w:tcPr>
          <w:p w14:paraId="3FAEA0C0"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30%</w:t>
            </w:r>
          </w:p>
        </w:tc>
      </w:tr>
      <w:tr w:rsidR="00221E17" w:rsidRPr="006311F5" w14:paraId="7941B655" w14:textId="77777777" w:rsidTr="00221E17">
        <w:tc>
          <w:tcPr>
            <w:tcW w:w="2093" w:type="dxa"/>
          </w:tcPr>
          <w:p w14:paraId="2030E08D" w14:textId="5D4D1DAC"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6804" w:type="dxa"/>
          </w:tcPr>
          <w:p w14:paraId="0E233F57"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country has a liberal regime of exchange controls that allow for the full repatriation of profits and dividends.</w:t>
            </w:r>
          </w:p>
        </w:tc>
      </w:tr>
      <w:tr w:rsidR="00221E17" w:rsidRPr="006311F5" w14:paraId="0DE97F8B" w14:textId="77777777" w:rsidTr="00221E17">
        <w:tc>
          <w:tcPr>
            <w:tcW w:w="2093" w:type="dxa"/>
          </w:tcPr>
          <w:p w14:paraId="68FCD0E4"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6804" w:type="dxa"/>
          </w:tcPr>
          <w:p w14:paraId="45E697F7"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The government has identified specific sectors that have been deemed important for investment and these sectors qualify for a special corporate tax incentive. Tourism is one of these sectors. The Minister of Finance has the prerogative to nominate a certain investing company crucial for the development of Swaziland and, with Cabinet approval, the company can qualify for a minimum tax rate of 10% and a 10 years exemption on withholding taxes on dividends.</w:t>
            </w:r>
          </w:p>
          <w:p w14:paraId="3A60B01A"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150% of training costs can be written off against tax. </w:t>
            </w:r>
          </w:p>
          <w:p w14:paraId="2A50B954"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Capital goods imported for investments are exempt from duty. </w:t>
            </w:r>
          </w:p>
          <w:p w14:paraId="75E283DC"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Provisions for loss cover.</w:t>
            </w:r>
          </w:p>
        </w:tc>
      </w:tr>
      <w:tr w:rsidR="00221E17" w:rsidRPr="006311F5" w14:paraId="4B3346F1" w14:textId="77777777" w:rsidTr="00221E17">
        <w:tc>
          <w:tcPr>
            <w:tcW w:w="2093" w:type="dxa"/>
          </w:tcPr>
          <w:p w14:paraId="51CEAB45"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6804" w:type="dxa"/>
          </w:tcPr>
          <w:p w14:paraId="008D639E"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regulations allow for 100% ownership of foreign investments.</w:t>
            </w:r>
          </w:p>
        </w:tc>
      </w:tr>
      <w:tr w:rsidR="00221E17" w:rsidRPr="006311F5" w14:paraId="70CDF15C" w14:textId="77777777" w:rsidTr="00221E17">
        <w:tc>
          <w:tcPr>
            <w:tcW w:w="2093" w:type="dxa"/>
          </w:tcPr>
          <w:p w14:paraId="09355B48"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6804" w:type="dxa"/>
          </w:tcPr>
          <w:p w14:paraId="5EFB7BEC" w14:textId="51137A79"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The Swazi Constitution does not allow the vesting of ownership of land in foreign-owned companies or foreigners. The Constitution does go on to state that this "may not be used to undermine or frustrate an existing or new legitimate business undertaking of which land is a significant factor or base." Foreign companies looking to own land must attain approval from the Land </w:t>
            </w:r>
            <w:r w:rsidR="001262C2">
              <w:rPr>
                <w:rFonts w:ascii="Garamond" w:eastAsiaTheme="minorEastAsia" w:hAnsi="Garamond" w:cs="Times"/>
                <w:sz w:val="20"/>
                <w:szCs w:val="20"/>
              </w:rPr>
              <w:t xml:space="preserve">Management </w:t>
            </w:r>
            <w:r w:rsidRPr="006311F5">
              <w:rPr>
                <w:rFonts w:ascii="Garamond" w:eastAsiaTheme="minorEastAsia" w:hAnsi="Garamond" w:cs="Times"/>
                <w:sz w:val="20"/>
                <w:szCs w:val="20"/>
              </w:rPr>
              <w:t>Board.</w:t>
            </w:r>
          </w:p>
        </w:tc>
      </w:tr>
      <w:tr w:rsidR="00221E17" w:rsidRPr="006311F5" w14:paraId="3071716A" w14:textId="77777777" w:rsidTr="00221E17">
        <w:tc>
          <w:tcPr>
            <w:tcW w:w="2093" w:type="dxa"/>
          </w:tcPr>
          <w:p w14:paraId="27B15474"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6804" w:type="dxa"/>
          </w:tcPr>
          <w:p w14:paraId="5901ADB2"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Swaziland allows the employment of expatriate staff. Five year work and residence permits are available for directors, senior management and specialised technical staff.</w:t>
            </w:r>
          </w:p>
        </w:tc>
      </w:tr>
      <w:tr w:rsidR="00221E17" w:rsidRPr="006311F5" w14:paraId="43193F34" w14:textId="77777777" w:rsidTr="00221E17">
        <w:tc>
          <w:tcPr>
            <w:tcW w:w="2093" w:type="dxa"/>
          </w:tcPr>
          <w:p w14:paraId="0B18AAA1"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4C56A207"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3292C195"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government guarantees against expropriation and interference. Swaziland is a member of the World Bank's Multilateral Investment Guarantee Agency (MIGA).</w:t>
            </w:r>
          </w:p>
        </w:tc>
      </w:tr>
      <w:tr w:rsidR="00221E17" w:rsidRPr="006311F5" w14:paraId="1F80363D" w14:textId="77777777" w:rsidTr="00221E17">
        <w:tc>
          <w:tcPr>
            <w:tcW w:w="2093" w:type="dxa"/>
          </w:tcPr>
          <w:p w14:paraId="3A9A9212"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6804" w:type="dxa"/>
          </w:tcPr>
          <w:p w14:paraId="56E290C2" w14:textId="77777777"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There are no restrictions on foreign investment.</w:t>
            </w:r>
          </w:p>
          <w:p w14:paraId="4CD8429C"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p>
        </w:tc>
      </w:tr>
    </w:tbl>
    <w:p w14:paraId="52F265AF" w14:textId="00BCFE5C" w:rsidR="00486658" w:rsidRDefault="00221E17" w:rsidP="00BF0F99">
      <w:pPr>
        <w:spacing w:before="0" w:after="0" w:line="240" w:lineRule="auto"/>
        <w:jc w:val="left"/>
        <w:rPr>
          <w:rFonts w:ascii="Garamond" w:hAnsi="Garamond"/>
        </w:rPr>
      </w:pPr>
      <w:r w:rsidRPr="006311F5">
        <w:rPr>
          <w:rFonts w:ascii="Garamond" w:hAnsi="Garamond"/>
        </w:rPr>
        <w:t>Source: RETOSA 2014, pp77-79</w:t>
      </w:r>
      <w:r w:rsidR="001262C2">
        <w:rPr>
          <w:rFonts w:ascii="Garamond" w:hAnsi="Garamond"/>
        </w:rPr>
        <w:t xml:space="preserve">; </w:t>
      </w:r>
      <w:r w:rsidR="001262C2" w:rsidRPr="001262C2">
        <w:rPr>
          <w:rFonts w:ascii="Garamond" w:hAnsi="Garamond" w:cs="Times"/>
          <w:sz w:val="20"/>
          <w:szCs w:val="20"/>
        </w:rPr>
        <w:t>Pers. Com. S. Maphalala, Swaziland National Trust Commission, 2014</w:t>
      </w:r>
    </w:p>
    <w:p w14:paraId="6D76BF86" w14:textId="77777777" w:rsidR="00BF0F99" w:rsidRPr="00BF0F99" w:rsidRDefault="00BF0F99" w:rsidP="00BF0F99">
      <w:pPr>
        <w:spacing w:before="0" w:after="0" w:line="240" w:lineRule="auto"/>
        <w:jc w:val="left"/>
        <w:rPr>
          <w:rFonts w:ascii="Garamond" w:hAnsi="Garamond"/>
        </w:rPr>
      </w:pPr>
    </w:p>
    <w:p w14:paraId="3833C5EA" w14:textId="77777777" w:rsidR="00486658" w:rsidRPr="006311F5" w:rsidRDefault="00486658" w:rsidP="00486658">
      <w:pPr>
        <w:pStyle w:val="Heading3"/>
        <w:rPr>
          <w:rFonts w:ascii="Garamond" w:hAnsi="Garamond"/>
        </w:rPr>
      </w:pPr>
      <w:bookmarkStart w:id="96" w:name="_Toc269636371"/>
      <w:r w:rsidRPr="006311F5">
        <w:rPr>
          <w:rFonts w:ascii="Garamond" w:hAnsi="Garamond"/>
        </w:rPr>
        <w:t>Tanzania</w:t>
      </w:r>
      <w:bookmarkEnd w:id="96"/>
    </w:p>
    <w:p w14:paraId="26F1D1E1" w14:textId="56940B26" w:rsidR="00D14592" w:rsidRPr="007C2C94" w:rsidRDefault="00D14592" w:rsidP="00D14592">
      <w:pPr>
        <w:rPr>
          <w:rFonts w:ascii="Garamond" w:hAnsi="Garamond"/>
          <w:b/>
          <w:sz w:val="20"/>
          <w:szCs w:val="20"/>
        </w:rPr>
      </w:pPr>
      <w:r w:rsidRPr="007C2C94">
        <w:rPr>
          <w:rFonts w:ascii="Garamond" w:hAnsi="Garamond"/>
          <w:b/>
          <w:sz w:val="20"/>
          <w:szCs w:val="20"/>
        </w:rPr>
        <w:t>Concession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850"/>
      </w:tblGrid>
      <w:tr w:rsidR="00D14592" w:rsidRPr="007C2C94" w14:paraId="5C9CEAB1" w14:textId="77777777" w:rsidTr="007C2C94">
        <w:tc>
          <w:tcPr>
            <w:tcW w:w="2047" w:type="dxa"/>
          </w:tcPr>
          <w:p w14:paraId="260D71C4"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Relevant policies, strategies and legislation</w:t>
            </w:r>
          </w:p>
        </w:tc>
        <w:tc>
          <w:tcPr>
            <w:tcW w:w="6850" w:type="dxa"/>
          </w:tcPr>
          <w:p w14:paraId="2F56C1F8" w14:textId="2F1E3764"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 xml:space="preserve">Tanzania Tourism Master Plan (2002) </w:t>
            </w:r>
          </w:p>
          <w:p w14:paraId="2E5C152C" w14:textId="7777777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National Tourism Policy (1999) and Wildlife Policy of Tanzania (1998)</w:t>
            </w:r>
          </w:p>
          <w:p w14:paraId="1DA4F6CD" w14:textId="7777777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National Policies for National Parks in Tanzania (1994)</w:t>
            </w:r>
          </w:p>
        </w:tc>
      </w:tr>
      <w:tr w:rsidR="00D14592" w:rsidRPr="007C2C94" w14:paraId="2205976A" w14:textId="77777777" w:rsidTr="007C2C94">
        <w:tc>
          <w:tcPr>
            <w:tcW w:w="2047" w:type="dxa"/>
          </w:tcPr>
          <w:p w14:paraId="0AE46870"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Concession models used</w:t>
            </w:r>
          </w:p>
        </w:tc>
        <w:tc>
          <w:tcPr>
            <w:tcW w:w="6850" w:type="dxa"/>
          </w:tcPr>
          <w:p w14:paraId="1B90EDF5"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Lease Agreements</w:t>
            </w:r>
          </w:p>
        </w:tc>
      </w:tr>
      <w:tr w:rsidR="00D14592" w:rsidRPr="007C2C94" w14:paraId="2FA77858" w14:textId="77777777" w:rsidTr="007C2C94">
        <w:tc>
          <w:tcPr>
            <w:tcW w:w="2047" w:type="dxa"/>
          </w:tcPr>
          <w:p w14:paraId="4B8E74F4"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Examples of concession processes</w:t>
            </w:r>
          </w:p>
        </w:tc>
        <w:tc>
          <w:tcPr>
            <w:tcW w:w="6850" w:type="dxa"/>
          </w:tcPr>
          <w:p w14:paraId="36BAEB45" w14:textId="73E055D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Ministry of Natural Resources and Tourism’s Wildlife Division is responsible for hunting concessions.</w:t>
            </w:r>
          </w:p>
          <w:p w14:paraId="3BE086FD"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Investment Procedure guidelines</w:t>
            </w:r>
          </w:p>
        </w:tc>
      </w:tr>
      <w:tr w:rsidR="00D14592" w:rsidRPr="007C2C94" w14:paraId="65570E08" w14:textId="77777777" w:rsidTr="007C2C94">
        <w:tc>
          <w:tcPr>
            <w:tcW w:w="2047" w:type="dxa"/>
          </w:tcPr>
          <w:p w14:paraId="46C0990B"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Tourism investment guidelines in PAs</w:t>
            </w:r>
          </w:p>
        </w:tc>
        <w:tc>
          <w:tcPr>
            <w:tcW w:w="6850" w:type="dxa"/>
          </w:tcPr>
          <w:p w14:paraId="461674EB" w14:textId="0CABC5B0"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Government of United Republic of Tanzania (2003) Guidelines for Coastal Tourism Development in Tanzania</w:t>
            </w:r>
          </w:p>
          <w:p w14:paraId="66904398"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 xml:space="preserve">Tanzania Investment Centre (undated) Tanzania Investors Guide </w:t>
            </w:r>
          </w:p>
          <w:p w14:paraId="477E1175"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UNCTAD (2005) An investment guide to Tanzania</w:t>
            </w:r>
          </w:p>
          <w:p w14:paraId="4A709D47"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World Bank (2005) Attracting Investment in Tourism</w:t>
            </w:r>
          </w:p>
          <w:p w14:paraId="5D4E9C96"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Development Action Lease Procedures (DALP) (1995)</w:t>
            </w:r>
          </w:p>
          <w:p w14:paraId="2BDA00A2"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Respective National Park’s General Management Plan (GMP)</w:t>
            </w:r>
          </w:p>
        </w:tc>
      </w:tr>
      <w:tr w:rsidR="00D14592" w:rsidRPr="007C2C94" w14:paraId="6B142491" w14:textId="77777777" w:rsidTr="007C2C94">
        <w:tc>
          <w:tcPr>
            <w:tcW w:w="2047" w:type="dxa"/>
          </w:tcPr>
          <w:p w14:paraId="57C2382C"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Concession manuals and tools</w:t>
            </w:r>
          </w:p>
        </w:tc>
        <w:tc>
          <w:tcPr>
            <w:tcW w:w="6850" w:type="dxa"/>
          </w:tcPr>
          <w:p w14:paraId="50F1E612"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(any exist?)</w:t>
            </w:r>
          </w:p>
        </w:tc>
      </w:tr>
      <w:tr w:rsidR="00D14592" w:rsidRPr="007C2C94" w14:paraId="2CB0E2E4" w14:textId="77777777" w:rsidTr="007C2C94">
        <w:tc>
          <w:tcPr>
            <w:tcW w:w="2047" w:type="dxa"/>
          </w:tcPr>
          <w:p w14:paraId="7ECBBB51"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Highly effective concession processes</w:t>
            </w:r>
          </w:p>
        </w:tc>
        <w:tc>
          <w:tcPr>
            <w:tcW w:w="6850" w:type="dxa"/>
          </w:tcPr>
          <w:p w14:paraId="68DE2150"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(i.e. for scaling up to other SADC countries)</w:t>
            </w:r>
          </w:p>
        </w:tc>
      </w:tr>
      <w:tr w:rsidR="00D14592" w:rsidRPr="007C2C94" w14:paraId="6A317FAA" w14:textId="77777777" w:rsidTr="007C2C94">
        <w:tc>
          <w:tcPr>
            <w:tcW w:w="2047" w:type="dxa"/>
          </w:tcPr>
          <w:p w14:paraId="18FCFCBA"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Lessons learned</w:t>
            </w:r>
          </w:p>
        </w:tc>
        <w:tc>
          <w:tcPr>
            <w:tcW w:w="6850" w:type="dxa"/>
          </w:tcPr>
          <w:p w14:paraId="3C783261"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(for guidelines)</w:t>
            </w:r>
          </w:p>
        </w:tc>
      </w:tr>
    </w:tbl>
    <w:p w14:paraId="34CB95E1" w14:textId="3D117464" w:rsidR="00796068" w:rsidRPr="0073042D" w:rsidRDefault="00796068" w:rsidP="00796068">
      <w:pPr>
        <w:spacing w:before="0" w:after="0" w:line="240" w:lineRule="auto"/>
        <w:jc w:val="left"/>
        <w:rPr>
          <w:rFonts w:ascii="Garamond" w:hAnsi="Garamond"/>
        </w:rPr>
      </w:pPr>
      <w:r w:rsidRPr="0073042D">
        <w:rPr>
          <w:rFonts w:ascii="Garamond" w:hAnsi="Garamond"/>
        </w:rPr>
        <w:t xml:space="preserve">Source: Pers. </w:t>
      </w:r>
      <w:r w:rsidR="0073042D" w:rsidRPr="0073042D">
        <w:rPr>
          <w:rFonts w:ascii="Garamond" w:hAnsi="Garamond"/>
        </w:rPr>
        <w:t>Com. E. Dembe, TANAPA, 2014</w:t>
      </w:r>
    </w:p>
    <w:p w14:paraId="353C6598" w14:textId="07FB8117" w:rsidR="00486658" w:rsidRPr="007C2C94" w:rsidRDefault="00D14592" w:rsidP="00486658">
      <w:pPr>
        <w:widowControl w:val="0"/>
        <w:autoSpaceDE w:val="0"/>
        <w:autoSpaceDN w:val="0"/>
        <w:adjustRightInd w:val="0"/>
        <w:spacing w:after="240"/>
        <w:rPr>
          <w:rFonts w:ascii="Garamond" w:hAnsi="Garamond" w:cs="Times"/>
          <w:b/>
          <w:sz w:val="20"/>
          <w:szCs w:val="20"/>
        </w:rPr>
      </w:pPr>
      <w:r w:rsidRPr="007C2C94">
        <w:rPr>
          <w:rFonts w:ascii="Garamond" w:hAnsi="Garamond" w:cs="Times"/>
          <w:b/>
          <w:sz w:val="20"/>
          <w:szCs w:val="20"/>
        </w:rPr>
        <w:t>Investor information</w:t>
      </w:r>
    </w:p>
    <w:tbl>
      <w:tblPr>
        <w:tblStyle w:val="TableGrid"/>
        <w:tblW w:w="0" w:type="auto"/>
        <w:tblLook w:val="04A0" w:firstRow="1" w:lastRow="0" w:firstColumn="1" w:lastColumn="0" w:noHBand="0" w:noVBand="1"/>
      </w:tblPr>
      <w:tblGrid>
        <w:gridCol w:w="1586"/>
        <w:gridCol w:w="7270"/>
      </w:tblGrid>
      <w:tr w:rsidR="00486658" w:rsidRPr="006311F5" w14:paraId="6A4BEC9A" w14:textId="77777777" w:rsidTr="00D16635">
        <w:tc>
          <w:tcPr>
            <w:tcW w:w="1586" w:type="dxa"/>
          </w:tcPr>
          <w:p w14:paraId="7DF725B9"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0D6F229F"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592B398E" w14:textId="2549D7A0"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Tanzania has two international airports - Julius Nyerere International</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Airport</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Dar</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es</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Salaam</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and</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Kilimanjaro International. Charter flights and some international operators fly directly to Zanzibar Island. Dar es Salaam is served by a number of international operators including British Airways, KLM, Swiss</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Air, Lufthansa, Air France, Qatar Airways, Ethiopian Airways, Kenya Airways and South African Airways.</w:t>
            </w:r>
          </w:p>
        </w:tc>
      </w:tr>
      <w:tr w:rsidR="00486658" w:rsidRPr="006311F5" w14:paraId="51A01DC7" w14:textId="77777777" w:rsidTr="00D16635">
        <w:tc>
          <w:tcPr>
            <w:tcW w:w="1586" w:type="dxa"/>
          </w:tcPr>
          <w:p w14:paraId="7DC0BEF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7270" w:type="dxa"/>
          </w:tcPr>
          <w:p w14:paraId="51414FD2" w14:textId="1C5BBD04"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Air Tanzania</w:t>
            </w:r>
          </w:p>
        </w:tc>
      </w:tr>
      <w:tr w:rsidR="00486658" w:rsidRPr="006311F5" w14:paraId="775D8E09" w14:textId="77777777" w:rsidTr="00D16635">
        <w:tc>
          <w:tcPr>
            <w:tcW w:w="1586" w:type="dxa"/>
          </w:tcPr>
          <w:p w14:paraId="06A34A1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7270" w:type="dxa"/>
          </w:tcPr>
          <w:p w14:paraId="75952FF4" w14:textId="066F078A"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Air Tanzania flies regular daily flights between Tanzania's major cities. The country has a good charter flight sub-sector that provides services primarily for the safari companies. The road network has improved substantially over the last decade although air would still be the preferable means for internal travel. There are daily departures by ferry to Zanzibar and Pemba Island from Dar es Salaam.</w:t>
            </w:r>
          </w:p>
        </w:tc>
      </w:tr>
      <w:tr w:rsidR="00486658" w:rsidRPr="006311F5" w14:paraId="0F3D8668" w14:textId="77777777" w:rsidTr="00D16635">
        <w:tc>
          <w:tcPr>
            <w:tcW w:w="1586" w:type="dxa"/>
          </w:tcPr>
          <w:p w14:paraId="5B1EECC6"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4C6E4B5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4D24938E" w14:textId="6C80FEBD"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Mobile services are the preferred method of communication in Tanzania. The country has two fixed-line operators (TTCL and Zantel) and eight operational mobile networks. The major mobile players are Vodacom, Bharti Airtel, Tigo and Zantel. The landing of the Eastern Africa Submarine Cable System (EASSy) has dramatically improved internet connectivity. Voice over internet protocol (VoIP) telephony has been liberalised and 3G and 4G mobile services are available.</w:t>
            </w:r>
          </w:p>
        </w:tc>
      </w:tr>
      <w:tr w:rsidR="00486658" w:rsidRPr="006311F5" w14:paraId="69C09841" w14:textId="77777777" w:rsidTr="00D16635">
        <w:tc>
          <w:tcPr>
            <w:tcW w:w="1586" w:type="dxa"/>
          </w:tcPr>
          <w:p w14:paraId="4659F2C3"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7270" w:type="dxa"/>
          </w:tcPr>
          <w:p w14:paraId="03C2F869"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30%  </w:t>
            </w:r>
          </w:p>
        </w:tc>
      </w:tr>
      <w:tr w:rsidR="00486658" w:rsidRPr="006311F5" w14:paraId="57EEC492" w14:textId="77777777" w:rsidTr="00D16635">
        <w:tc>
          <w:tcPr>
            <w:tcW w:w="1586" w:type="dxa"/>
          </w:tcPr>
          <w:p w14:paraId="6DD03F70" w14:textId="2BB98F0C"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7270" w:type="dxa"/>
          </w:tcPr>
          <w:p w14:paraId="691EA6B8"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Guaranteed repatriation of profits and dividends.</w:t>
            </w:r>
          </w:p>
        </w:tc>
      </w:tr>
      <w:tr w:rsidR="00486658" w:rsidRPr="006311F5" w14:paraId="2B6A368F" w14:textId="77777777" w:rsidTr="00D16635">
        <w:tc>
          <w:tcPr>
            <w:tcW w:w="1586" w:type="dxa"/>
          </w:tcPr>
          <w:p w14:paraId="7DF80C2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7270" w:type="dxa"/>
          </w:tcPr>
          <w:p w14:paraId="2FF7ECD8" w14:textId="77777777" w:rsidR="00486658" w:rsidRPr="006311F5" w:rsidRDefault="00486658" w:rsidP="00486658">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Import duty and VAT exemption on project/capital goods. </w:t>
            </w:r>
          </w:p>
          <w:p w14:paraId="5545F3DB" w14:textId="77777777" w:rsidR="00486658" w:rsidRPr="006311F5" w:rsidRDefault="00486658" w:rsidP="00486658">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Strategic Investor Status: For projects valued at over US$ 20 million that offer a meaningful impact to society or the economy, investors can request special incentives from the Government. </w:t>
            </w:r>
          </w:p>
          <w:p w14:paraId="77A90D25"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Import Duty Draw Back Scheme</w:t>
            </w:r>
          </w:p>
        </w:tc>
      </w:tr>
      <w:tr w:rsidR="00486658" w:rsidRPr="006311F5" w14:paraId="071BFE99" w14:textId="77777777" w:rsidTr="00D16635">
        <w:tc>
          <w:tcPr>
            <w:tcW w:w="1586" w:type="dxa"/>
          </w:tcPr>
          <w:p w14:paraId="24BBD801"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7270" w:type="dxa"/>
          </w:tcPr>
          <w:p w14:paraId="555A5FDA"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There are no specific regulations or requirements for local participation however, the Dar Es Salaam Stock Exchange forbids companies with more than 60% foreign ownership from listing.</w:t>
            </w:r>
          </w:p>
        </w:tc>
      </w:tr>
      <w:tr w:rsidR="00486658" w:rsidRPr="006311F5" w14:paraId="4BDBF23A" w14:textId="77777777" w:rsidTr="00D16635">
        <w:tc>
          <w:tcPr>
            <w:tcW w:w="1586" w:type="dxa"/>
          </w:tcPr>
          <w:p w14:paraId="5802E33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7270" w:type="dxa"/>
          </w:tcPr>
          <w:p w14:paraId="01D462B9"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All land in Tanzania belongs to the State. Foreign investors can occupy land for investment purposes through a government-granted right of occupancy, through derivative rights, or through sub-leases through a granted right of occupancy. Rights of occupancy and derivative rights may be granted for periods up to 99 years and are renewable.</w:t>
            </w:r>
          </w:p>
        </w:tc>
      </w:tr>
      <w:tr w:rsidR="00486658" w:rsidRPr="006311F5" w14:paraId="6C0005F5" w14:textId="77777777" w:rsidTr="00D16635">
        <w:tc>
          <w:tcPr>
            <w:tcW w:w="1586" w:type="dxa"/>
          </w:tcPr>
          <w:p w14:paraId="4FE87C8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7270" w:type="dxa"/>
          </w:tcPr>
          <w:p w14:paraId="24FF2A21"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All foreign citizens are required to obtain residence permits (also serve as work permits). The general principal for granting a permit is that the applicant needs to demonstrate that a Tanzanian citizen is unable to perform the job that the foreign citizen intends to carry out in Tanzania. Investors generally qualify for an immigration quota of up to 5 people.</w:t>
            </w:r>
          </w:p>
        </w:tc>
      </w:tr>
      <w:tr w:rsidR="00486658" w:rsidRPr="006311F5" w14:paraId="0CBDF8ED" w14:textId="77777777" w:rsidTr="00D16635">
        <w:tc>
          <w:tcPr>
            <w:tcW w:w="1586" w:type="dxa"/>
          </w:tcPr>
          <w:p w14:paraId="57F17D44"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665F7DE1"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786D1B51"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Investments in Tanzania are guaranteed against nationalisation and expropriation. Tanzania is a signatory of several multilateral and bilateral agreements on protection and promotion of foreign investment. Among other international agreements and membership, Tanzania is a member of the World Bank's Multilateral Investment Guarantee Agency (MIGA).</w:t>
            </w:r>
          </w:p>
        </w:tc>
      </w:tr>
      <w:tr w:rsidR="00486658" w:rsidRPr="006311F5" w14:paraId="05747BD2" w14:textId="77777777" w:rsidTr="00D16635">
        <w:tc>
          <w:tcPr>
            <w:tcW w:w="1586" w:type="dxa"/>
          </w:tcPr>
          <w:p w14:paraId="6F03515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7270" w:type="dxa"/>
          </w:tcPr>
          <w:p w14:paraId="6D5588F8"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Tourism Act of 2008 bars foreign companies from engaging in mountain guiding activities. According to this legislation, only Tanzanian citizens can operate travel agencies and car rental services and engage in tour guiding.</w:t>
            </w:r>
          </w:p>
        </w:tc>
      </w:tr>
    </w:tbl>
    <w:p w14:paraId="60BEE627" w14:textId="77777777" w:rsidR="00486658" w:rsidRPr="006311F5" w:rsidRDefault="00486658" w:rsidP="00486658">
      <w:pPr>
        <w:spacing w:before="0" w:after="0" w:line="240" w:lineRule="auto"/>
        <w:jc w:val="left"/>
        <w:rPr>
          <w:rFonts w:ascii="Garamond" w:hAnsi="Garamond"/>
        </w:rPr>
      </w:pPr>
      <w:r w:rsidRPr="006311F5">
        <w:rPr>
          <w:rFonts w:ascii="Garamond" w:hAnsi="Garamond"/>
        </w:rPr>
        <w:t>Source: RETOSA 2014, pp84-85</w:t>
      </w:r>
    </w:p>
    <w:p w14:paraId="578B56EC" w14:textId="77777777" w:rsidR="00D16635" w:rsidRPr="006311F5" w:rsidRDefault="00D16635" w:rsidP="00D16635">
      <w:pPr>
        <w:spacing w:line="240" w:lineRule="auto"/>
        <w:rPr>
          <w:rFonts w:ascii="Garamond" w:hAnsi="Garamond"/>
          <w:sz w:val="24"/>
          <w:szCs w:val="24"/>
        </w:rPr>
      </w:pPr>
    </w:p>
    <w:p w14:paraId="1792902D" w14:textId="77777777" w:rsidR="00D16635" w:rsidRPr="006311F5" w:rsidRDefault="00D16635" w:rsidP="00D16635">
      <w:pPr>
        <w:pStyle w:val="Heading3"/>
        <w:rPr>
          <w:rFonts w:ascii="Garamond" w:hAnsi="Garamond"/>
        </w:rPr>
      </w:pPr>
      <w:bookmarkStart w:id="97" w:name="_Toc269636372"/>
      <w:r w:rsidRPr="006311F5">
        <w:rPr>
          <w:rFonts w:ascii="Garamond" w:hAnsi="Garamond"/>
        </w:rPr>
        <w:t>Zambia</w:t>
      </w:r>
      <w:bookmarkEnd w:id="97"/>
    </w:p>
    <w:p w14:paraId="73FB0931" w14:textId="7B7BA8EC" w:rsidR="00E85059" w:rsidRPr="00E85059" w:rsidRDefault="00E85059" w:rsidP="00E85059">
      <w:pPr>
        <w:rPr>
          <w:rFonts w:ascii="Garamond" w:hAnsi="Garamond"/>
          <w:sz w:val="20"/>
          <w:szCs w:val="20"/>
        </w:rPr>
      </w:pPr>
      <w:r w:rsidRPr="00E85059">
        <w:rPr>
          <w:rFonts w:ascii="Garamond" w:hAnsi="Garamond"/>
          <w:sz w:val="20"/>
          <w:szCs w:val="20"/>
        </w:rPr>
        <w:t>Concession information</w:t>
      </w:r>
    </w:p>
    <w:tbl>
      <w:tblPr>
        <w:tblStyle w:val="TableGrid"/>
        <w:tblW w:w="0" w:type="auto"/>
        <w:tblLook w:val="04A0" w:firstRow="1" w:lastRow="0" w:firstColumn="1" w:lastColumn="0" w:noHBand="0" w:noVBand="1"/>
      </w:tblPr>
      <w:tblGrid>
        <w:gridCol w:w="2047"/>
        <w:gridCol w:w="6992"/>
      </w:tblGrid>
      <w:tr w:rsidR="00E85059" w:rsidRPr="00E85059" w14:paraId="494C2F05" w14:textId="77777777" w:rsidTr="00E85059">
        <w:tc>
          <w:tcPr>
            <w:tcW w:w="2047" w:type="dxa"/>
          </w:tcPr>
          <w:p w14:paraId="009C8B2D"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Relevant policies, strategies and legislation</w:t>
            </w:r>
          </w:p>
        </w:tc>
        <w:tc>
          <w:tcPr>
            <w:tcW w:w="6992" w:type="dxa"/>
          </w:tcPr>
          <w:p w14:paraId="1093DFE5" w14:textId="77777777" w:rsidR="00E85059" w:rsidRPr="00E85059" w:rsidRDefault="00E85059" w:rsidP="00E85059">
            <w:pPr>
              <w:tabs>
                <w:tab w:val="left" w:pos="1665"/>
              </w:tabs>
              <w:rPr>
                <w:rFonts w:ascii="Garamond" w:hAnsi="Garamond"/>
                <w:sz w:val="20"/>
                <w:szCs w:val="20"/>
              </w:rPr>
            </w:pPr>
            <w:r w:rsidRPr="00E85059">
              <w:rPr>
                <w:rFonts w:ascii="Garamond" w:hAnsi="Garamond"/>
                <w:sz w:val="20"/>
                <w:szCs w:val="20"/>
              </w:rPr>
              <w:t>National Tourism Policy, 1999</w:t>
            </w:r>
          </w:p>
          <w:p w14:paraId="1400FD8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hAnsi="Garamond"/>
                <w:sz w:val="20"/>
                <w:szCs w:val="20"/>
              </w:rPr>
              <w:t>Tourism and Hospitality Act, 2007</w:t>
            </w:r>
          </w:p>
          <w:p w14:paraId="050BF9C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3779360C" w14:textId="6AABE91F"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Pr>
                <w:rFonts w:ascii="Garamond" w:eastAsiaTheme="minorEastAsia" w:hAnsi="Garamond" w:cs="Times"/>
                <w:sz w:val="20"/>
                <w:szCs w:val="20"/>
              </w:rPr>
              <w:t>A n</w:t>
            </w:r>
            <w:r w:rsidRPr="00E85059">
              <w:rPr>
                <w:rFonts w:ascii="Garamond" w:eastAsiaTheme="minorEastAsia" w:hAnsi="Garamond" w:cs="Times"/>
                <w:sz w:val="20"/>
                <w:szCs w:val="20"/>
              </w:rPr>
              <w:t>ew Wildlife Policy should fully align itself with the national strategy on licensing and with the newly drafted Tourism Policy and proposed Tourism and Hospitality Act especially with regard to issues concerning wildlife</w:t>
            </w:r>
            <w:r w:rsidRPr="00E85059">
              <w:rPr>
                <w:rFonts w:ascii="American Typewriter" w:eastAsiaTheme="minorEastAsia" w:hAnsi="American Typewriter" w:cs="American Typewriter"/>
                <w:sz w:val="20"/>
                <w:szCs w:val="20"/>
              </w:rPr>
              <w:t>‐</w:t>
            </w:r>
            <w:r w:rsidRPr="00E85059">
              <w:rPr>
                <w:rFonts w:ascii="Garamond" w:eastAsiaTheme="minorEastAsia" w:hAnsi="Garamond" w:cs="Times"/>
                <w:sz w:val="20"/>
                <w:szCs w:val="20"/>
              </w:rPr>
              <w:t>based tourism development such as tourism and hunting concessions (Contour 2012:37)</w:t>
            </w:r>
          </w:p>
          <w:p w14:paraId="401B2CC9"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6D91E2A6"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The Feasibility of Establishing Block Tourism Concessions (Non</w:t>
            </w:r>
            <w:r w:rsidRPr="00E85059">
              <w:rPr>
                <w:rFonts w:ascii="American Typewriter" w:eastAsiaTheme="minorEastAsia" w:hAnsi="American Typewriter" w:cs="American Typewriter"/>
                <w:sz w:val="20"/>
                <w:szCs w:val="20"/>
              </w:rPr>
              <w:t>‐</w:t>
            </w:r>
            <w:r w:rsidRPr="00E85059">
              <w:rPr>
                <w:rFonts w:ascii="Garamond" w:eastAsiaTheme="minorEastAsia" w:hAnsi="Garamond" w:cs="Times"/>
                <w:sz w:val="20"/>
                <w:szCs w:val="20"/>
              </w:rPr>
              <w:t>Consumptive) in Kafue National Park, Final Report. 30 April 2007. Peter de Vere Moss, International Development Consultant, Zambia Wildlife Authority, Chilanga, Zambia. (Contour 2012:103)</w:t>
            </w:r>
          </w:p>
          <w:p w14:paraId="10B0ED06"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6E81B64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Land: There are only two types of tenure in Zambia namely leasehold, which runs for 99 years and is renewable for a further 99 years, and customary tenure, which can be converted to leasehold thus allowing it to be used as collateral.</w:t>
            </w:r>
          </w:p>
          <w:p w14:paraId="0139A28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Zambia has no freehold system of tenure and under the new Land Act land now has a value and can be sold even without improvements on the land. A non-Zambian can acquire land under following conditions:</w:t>
            </w:r>
          </w:p>
          <w:p w14:paraId="1B1BB5AF"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He/she is a permanent resident of Zambia;</w:t>
            </w:r>
          </w:p>
          <w:p w14:paraId="1115C25C"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He/she is an investor within the meaning of the Zambia Development Agency Act or any other</w:t>
            </w:r>
          </w:p>
          <w:p w14:paraId="0ACE02D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law permitting investment in Zambia; and</w:t>
            </w:r>
          </w:p>
          <w:p w14:paraId="1C50229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In exceptional cases, by presidential consent in writing. (Deloitte 2008:142)</w:t>
            </w:r>
          </w:p>
        </w:tc>
      </w:tr>
      <w:tr w:rsidR="00E85059" w:rsidRPr="00E85059" w14:paraId="5C6BDC24" w14:textId="77777777" w:rsidTr="00E85059">
        <w:tc>
          <w:tcPr>
            <w:tcW w:w="2047" w:type="dxa"/>
          </w:tcPr>
          <w:p w14:paraId="0AB4B670"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Concession models used</w:t>
            </w:r>
          </w:p>
        </w:tc>
        <w:tc>
          <w:tcPr>
            <w:tcW w:w="6992" w:type="dxa"/>
          </w:tcPr>
          <w:p w14:paraId="51C799C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(e.g. management contracts; leases; concessions (Build operate transfer; rehabilitate operate transfer etc)</w:t>
            </w:r>
          </w:p>
          <w:p w14:paraId="7163AF93"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1853886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57A47D68"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Community-public-private partnership (CPPP) envisaged for Sioma Falls Lodge. Signatories to the CPPP would be the landowner, which is the Bartotse Royal Establishment, ZAWA and private parties. Each signatories’ rights and obligations, events that constitute defaults by each party and the explicit consequences of defaults must be incorporated into the CPPP agreement, as well as risks and rewards appropriately assigned to each party. To maximise the benefits for communities it is recommended that the support of development financing organisations be sought to form part of the CPPP, ensuring the communities assume limited financial risk besides the role that they play as landowners.  (Deloitte 2008:154)</w:t>
            </w:r>
          </w:p>
        </w:tc>
      </w:tr>
      <w:tr w:rsidR="00E85059" w:rsidRPr="00E85059" w14:paraId="6ADA5C2E" w14:textId="77777777" w:rsidTr="00E85059">
        <w:tc>
          <w:tcPr>
            <w:tcW w:w="2047" w:type="dxa"/>
          </w:tcPr>
          <w:p w14:paraId="30E9375B"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Examples of concession processes</w:t>
            </w:r>
          </w:p>
        </w:tc>
        <w:tc>
          <w:tcPr>
            <w:tcW w:w="6992" w:type="dxa"/>
          </w:tcPr>
          <w:p w14:paraId="7DFD759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(e.g. Tender process/auction/direct negotiations)</w:t>
            </w:r>
          </w:p>
          <w:p w14:paraId="7F94683B"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7B6FABEC"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The sites in protected areas are usually tendered and the requirements for application are:</w:t>
            </w:r>
          </w:p>
          <w:p w14:paraId="06236CC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Detailed business plan clearly showing capacity to develop and manage the proposed investment; (The business plan should include sketch drawings or maps of the proposed facilities in the area being applied for, cash flow and financial statements);</w:t>
            </w:r>
          </w:p>
          <w:p w14:paraId="180FF0DF"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A brief description of all past related projects or activities;</w:t>
            </w:r>
          </w:p>
          <w:p w14:paraId="36985CCD"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Traceable references;</w:t>
            </w:r>
          </w:p>
          <w:p w14:paraId="0E2CEA6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A list of shareholders/partners involved in financing or developing the proposed project;</w:t>
            </w:r>
          </w:p>
          <w:p w14:paraId="6C28772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An audited financial statement confirming solvency of the applicant or proof of financialcapacity; and</w:t>
            </w:r>
          </w:p>
          <w:p w14:paraId="676F42C5"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Certificate of registration/incorporation.</w:t>
            </w:r>
          </w:p>
          <w:p w14:paraId="32615D4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Bids should be submitted in accordance with the Instructions to Bidders contained in the tender document. When bids are received they are evaluated by a highly technical committee appointed by the director-general of ZAWA.</w:t>
            </w:r>
          </w:p>
          <w:p w14:paraId="5C4535B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Investment projects that are to be located in a game management area will also require a permit issued by the ZAWA. Applications for the permit should be supported by the following documents:</w:t>
            </w:r>
          </w:p>
          <w:p w14:paraId="662B09D8"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Project proposal;</w:t>
            </w:r>
          </w:p>
          <w:p w14:paraId="1C25852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List of shareholders;</w:t>
            </w:r>
          </w:p>
          <w:p w14:paraId="6672E3C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Information on promoters’ business experience; and</w:t>
            </w:r>
          </w:p>
          <w:p w14:paraId="6099B16B"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Recommendation letter from the district council. (Deloitte 2008:144)</w:t>
            </w:r>
          </w:p>
          <w:p w14:paraId="03384B7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21B2BAF1"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Kavango Zambezi TFCA: Sioma Falls - Sioma Falls Lodge</w:t>
            </w:r>
          </w:p>
          <w:p w14:paraId="60BA6C51"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hAnsi="Garamond" w:cs="Times"/>
                <w:sz w:val="20"/>
                <w:szCs w:val="20"/>
              </w:rPr>
              <w:t>Kavango Zambezi TFCA: Sioma Ngwezi National Park (6 concession sites identified)</w:t>
            </w:r>
          </w:p>
        </w:tc>
      </w:tr>
      <w:tr w:rsidR="00E85059" w:rsidRPr="00E85059" w14:paraId="3FB2E06C" w14:textId="77777777" w:rsidTr="00E85059">
        <w:tc>
          <w:tcPr>
            <w:tcW w:w="2047" w:type="dxa"/>
          </w:tcPr>
          <w:p w14:paraId="560F3B1C"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Tourism investment guidelines in PAs</w:t>
            </w:r>
          </w:p>
        </w:tc>
        <w:tc>
          <w:tcPr>
            <w:tcW w:w="6992" w:type="dxa"/>
          </w:tcPr>
          <w:p w14:paraId="215B7851"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(any others?)</w:t>
            </w:r>
          </w:p>
          <w:p w14:paraId="4D23786B"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64CF752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The Zambia Wildlife Authority (ZAWA) established through an Act of Parliament, No. 12 of 1998, is a statutory body in charge of wildlife management in Zambia. ZAWA regulates all tourism activities in national parks and game management areas. The organisation facilitates private sector participation in wildlife management by leasing out sites for tourism development. (Deloitte 2008:143)</w:t>
            </w:r>
          </w:p>
          <w:p w14:paraId="05CEB35D"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65C3A7DC"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Zambian Development Agency (ZDA) is responsible for supporting economic growth and encouraging investment.</w:t>
            </w:r>
          </w:p>
          <w:p w14:paraId="1E0BA227"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3F5875F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Zambia Investor Guide Handbook (2013)</w:t>
            </w:r>
          </w:p>
        </w:tc>
      </w:tr>
      <w:tr w:rsidR="00E85059" w:rsidRPr="00E85059" w14:paraId="0C7C13D9" w14:textId="77777777" w:rsidTr="00E85059">
        <w:tc>
          <w:tcPr>
            <w:tcW w:w="2047" w:type="dxa"/>
          </w:tcPr>
          <w:p w14:paraId="4C585897"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Concession manuals and tools</w:t>
            </w:r>
          </w:p>
        </w:tc>
        <w:tc>
          <w:tcPr>
            <w:tcW w:w="6992" w:type="dxa"/>
          </w:tcPr>
          <w:p w14:paraId="744B6C0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(any?_</w:t>
            </w:r>
          </w:p>
        </w:tc>
      </w:tr>
      <w:tr w:rsidR="00E85059" w:rsidRPr="00E85059" w14:paraId="6CAE1A11" w14:textId="77777777" w:rsidTr="00E85059">
        <w:tc>
          <w:tcPr>
            <w:tcW w:w="2047" w:type="dxa"/>
          </w:tcPr>
          <w:p w14:paraId="0F123471"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Highly effective concession processes</w:t>
            </w:r>
          </w:p>
        </w:tc>
        <w:tc>
          <w:tcPr>
            <w:tcW w:w="6992" w:type="dxa"/>
          </w:tcPr>
          <w:p w14:paraId="487286E7"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(i.e. for scaling up to other SADC countries)</w:t>
            </w:r>
          </w:p>
        </w:tc>
      </w:tr>
      <w:tr w:rsidR="00E85059" w:rsidRPr="00E85059" w14:paraId="377E6893" w14:textId="77777777" w:rsidTr="00E85059">
        <w:tc>
          <w:tcPr>
            <w:tcW w:w="2047" w:type="dxa"/>
          </w:tcPr>
          <w:p w14:paraId="6E2AE952"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Lessons learned</w:t>
            </w:r>
          </w:p>
        </w:tc>
        <w:tc>
          <w:tcPr>
            <w:tcW w:w="6992" w:type="dxa"/>
          </w:tcPr>
          <w:p w14:paraId="7F45E56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(for guidelines)</w:t>
            </w:r>
          </w:p>
        </w:tc>
      </w:tr>
    </w:tbl>
    <w:p w14:paraId="077EA63F" w14:textId="77777777" w:rsidR="00E85059" w:rsidRPr="00E85059" w:rsidRDefault="00E85059" w:rsidP="00E85059">
      <w:pPr>
        <w:rPr>
          <w:rFonts w:ascii="Garamond" w:hAnsi="Garamond"/>
          <w:sz w:val="20"/>
          <w:szCs w:val="20"/>
        </w:rPr>
      </w:pPr>
    </w:p>
    <w:p w14:paraId="6CB1CC29" w14:textId="4272C58E" w:rsidR="00D16635" w:rsidRPr="00E85059" w:rsidRDefault="00E85059" w:rsidP="00E85059">
      <w:pPr>
        <w:rPr>
          <w:rFonts w:ascii="Garamond" w:hAnsi="Garamond"/>
          <w:b/>
        </w:rPr>
      </w:pPr>
      <w:r w:rsidRPr="00E85059">
        <w:rPr>
          <w:rFonts w:ascii="Garamond" w:hAnsi="Garamond"/>
          <w:b/>
        </w:rPr>
        <w:t>Investor information</w:t>
      </w:r>
    </w:p>
    <w:tbl>
      <w:tblPr>
        <w:tblStyle w:val="TableGrid"/>
        <w:tblW w:w="0" w:type="auto"/>
        <w:tblLook w:val="04A0" w:firstRow="1" w:lastRow="0" w:firstColumn="1" w:lastColumn="0" w:noHBand="0" w:noVBand="1"/>
      </w:tblPr>
      <w:tblGrid>
        <w:gridCol w:w="1546"/>
        <w:gridCol w:w="7471"/>
      </w:tblGrid>
      <w:tr w:rsidR="00D16635" w:rsidRPr="006311F5" w14:paraId="69C54B5E" w14:textId="77777777" w:rsidTr="00D16635">
        <w:tc>
          <w:tcPr>
            <w:tcW w:w="1385" w:type="dxa"/>
          </w:tcPr>
          <w:p w14:paraId="16E09775"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411F18C7"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p>
        </w:tc>
        <w:tc>
          <w:tcPr>
            <w:tcW w:w="7471" w:type="dxa"/>
          </w:tcPr>
          <w:p w14:paraId="4E13D453" w14:textId="4415AAD3"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Direct flights into Lusaka are operated by a number of carriers including British Airways, South African Airways, KLM, American Airlines, Kenya Airways and Ethiopian Airways. South African Airways and KLM fly directly into Ndola and South African Airways and British Airways fly directly into Livingstone out of Johannesburg.</w:t>
            </w:r>
          </w:p>
        </w:tc>
      </w:tr>
      <w:tr w:rsidR="00D16635" w:rsidRPr="006311F5" w14:paraId="038CBB27" w14:textId="77777777" w:rsidTr="00D16635">
        <w:tc>
          <w:tcPr>
            <w:tcW w:w="1385" w:type="dxa"/>
          </w:tcPr>
          <w:p w14:paraId="50E93F79"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7471" w:type="dxa"/>
          </w:tcPr>
          <w:p w14:paraId="48E13A77" w14:textId="66396CF4"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w:t>
            </w:r>
          </w:p>
        </w:tc>
      </w:tr>
      <w:tr w:rsidR="00D16635" w:rsidRPr="006311F5" w14:paraId="7789B63D" w14:textId="77777777" w:rsidTr="00D16635">
        <w:tc>
          <w:tcPr>
            <w:tcW w:w="1385" w:type="dxa"/>
          </w:tcPr>
          <w:p w14:paraId="48F48B6D"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7471" w:type="dxa"/>
          </w:tcPr>
          <w:p w14:paraId="540C50EF" w14:textId="0E4746DC"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 local airline, Proflight Zambia, runs charters and scheduled flights within Zambia between Mfuwe, Livingstone and Lusaka. Self-drive holidays are possible in Zambia if one remains on the main routes between cities.</w:t>
            </w:r>
          </w:p>
        </w:tc>
      </w:tr>
      <w:tr w:rsidR="00D16635" w:rsidRPr="006311F5" w14:paraId="787FEAFF" w14:textId="77777777" w:rsidTr="00D16635">
        <w:tc>
          <w:tcPr>
            <w:tcW w:w="1385" w:type="dxa"/>
          </w:tcPr>
          <w:p w14:paraId="7921450F"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0C6336E1"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p>
        </w:tc>
        <w:tc>
          <w:tcPr>
            <w:tcW w:w="7471" w:type="dxa"/>
          </w:tcPr>
          <w:p w14:paraId="2357C07B" w14:textId="5F76101B"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There are three mobile network operators in Zambia - Bharti Airtel, MTN and Cell Z. Zambia has recently connected to two international submarine fibre optic cables, the West Africa Cable System (WACS) and Sat-3, which has substantially improved broadband services in the country. 3G services are available.</w:t>
            </w:r>
          </w:p>
        </w:tc>
      </w:tr>
      <w:tr w:rsidR="00D16635" w:rsidRPr="006311F5" w14:paraId="7254A653" w14:textId="77777777" w:rsidTr="00D16635">
        <w:tc>
          <w:tcPr>
            <w:tcW w:w="1385" w:type="dxa"/>
          </w:tcPr>
          <w:p w14:paraId="5E67414E"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7471" w:type="dxa"/>
          </w:tcPr>
          <w:p w14:paraId="3A41332A"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35%</w:t>
            </w:r>
          </w:p>
        </w:tc>
      </w:tr>
      <w:tr w:rsidR="00D16635" w:rsidRPr="006311F5" w14:paraId="60388096" w14:textId="77777777" w:rsidTr="00D16635">
        <w:tc>
          <w:tcPr>
            <w:tcW w:w="1385" w:type="dxa"/>
          </w:tcPr>
          <w:p w14:paraId="55D747FF" w14:textId="4F54BFC3"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7471" w:type="dxa"/>
          </w:tcPr>
          <w:p w14:paraId="3EF1E059"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Full repatriation of profits and dividends is allowed and there is no restriction on the import or export of capital.</w:t>
            </w:r>
          </w:p>
        </w:tc>
      </w:tr>
      <w:tr w:rsidR="00D16635" w:rsidRPr="006311F5" w14:paraId="2FFB183A" w14:textId="77777777" w:rsidTr="00D16635">
        <w:tc>
          <w:tcPr>
            <w:tcW w:w="1385" w:type="dxa"/>
          </w:tcPr>
          <w:p w14:paraId="72A9D48E"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7471" w:type="dxa"/>
          </w:tcPr>
          <w:p w14:paraId="784C3229"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tax on dividends for 5 years from year of first declaration of dividends. </w:t>
            </w:r>
          </w:p>
          <w:p w14:paraId="1E2D425D"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tax on profits for 5 years from the first year profits are made. From year 6 to 8, only 50% of profits are taxable and years 9 &amp; 10, only 75% of profits are taxable. </w:t>
            </w:r>
          </w:p>
          <w:p w14:paraId="495799D0" w14:textId="06151B7C"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import tariffs on raw materials, capital goods and machinery for five years. This includes specialised vehicles. </w:t>
            </w:r>
          </w:p>
          <w:p w14:paraId="40B4AAF6"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Deferment of VAT on machinery and equipment including specialised vehicles. </w:t>
            </w:r>
          </w:p>
          <w:p w14:paraId="6E0F7682"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rate of VAT on tour packages throughout Zambia. </w:t>
            </w:r>
          </w:p>
          <w:p w14:paraId="61D86FC8" w14:textId="77777777" w:rsidR="00CB1BC2"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rate</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of</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VAT</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other</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tourist</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services</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provided</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foreign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tourists</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other</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than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those</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included</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 packages. </w:t>
            </w:r>
          </w:p>
          <w:p w14:paraId="62423C94" w14:textId="474541F8"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Refund of VAT for non-resident tourists and visitors on selected goods.</w:t>
            </w:r>
          </w:p>
          <w:p w14:paraId="221AF493"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 No import VAT on all goods temporarily imported into the country by foreign tourists. </w:t>
            </w:r>
          </w:p>
          <w:p w14:paraId="7F257A13"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Capital allowances at 50% of the cost of plant and machinery. </w:t>
            </w:r>
          </w:p>
          <w:p w14:paraId="5BC92077"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Investment allowance at 10% of the cost of an extension to a hotel. </w:t>
            </w:r>
          </w:p>
          <w:p w14:paraId="4DEF4EEB"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5% wear and tear allowance to an extension to a hotel. </w:t>
            </w:r>
          </w:p>
          <w:p w14:paraId="70B37778"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10% initial allowance on an extension to a hotel in the year the building is first brought into use.</w:t>
            </w:r>
          </w:p>
        </w:tc>
      </w:tr>
      <w:tr w:rsidR="00D16635" w:rsidRPr="006311F5" w14:paraId="6FAF44BE" w14:textId="77777777" w:rsidTr="00D16635">
        <w:tc>
          <w:tcPr>
            <w:tcW w:w="1385" w:type="dxa"/>
          </w:tcPr>
          <w:p w14:paraId="4EDD369F"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7471" w:type="dxa"/>
          </w:tcPr>
          <w:p w14:paraId="17854B87"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There is no requirement for a local partnership although government encourages these partnerships.</w:t>
            </w:r>
          </w:p>
        </w:tc>
      </w:tr>
      <w:tr w:rsidR="00D16635" w:rsidRPr="006311F5" w14:paraId="1F31260F" w14:textId="77777777" w:rsidTr="00D16635">
        <w:tc>
          <w:tcPr>
            <w:tcW w:w="1385" w:type="dxa"/>
          </w:tcPr>
          <w:p w14:paraId="31ED30E6"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7471" w:type="dxa"/>
          </w:tcPr>
          <w:p w14:paraId="7379B567"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Land ownership in Zambia is governed by the Land Act of 1995 under which ownership of all land is vested in the President.</w:t>
            </w:r>
          </w:p>
        </w:tc>
      </w:tr>
      <w:tr w:rsidR="00D16635" w:rsidRPr="006311F5" w14:paraId="72B10DE5" w14:textId="77777777" w:rsidTr="00D16635">
        <w:tc>
          <w:tcPr>
            <w:tcW w:w="1385" w:type="dxa"/>
          </w:tcPr>
          <w:p w14:paraId="3B8DC7D2"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7471" w:type="dxa"/>
          </w:tcPr>
          <w:p w14:paraId="493789DF"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Foreign investors are allowed to lease land for a maximum period of 99 years. The President is not allowed to lease land situated in an area held under customary tenure including game management areas which are subject to approval by the Director General of the Zambia Wildlife Authority. Investors in the tourism sector are given priority access to land allocation and provision of other utilities.</w:t>
            </w:r>
          </w:p>
        </w:tc>
      </w:tr>
      <w:tr w:rsidR="00D16635" w:rsidRPr="006311F5" w14:paraId="7C017DBF" w14:textId="77777777" w:rsidTr="00D16635">
        <w:tc>
          <w:tcPr>
            <w:tcW w:w="1385" w:type="dxa"/>
          </w:tcPr>
          <w:p w14:paraId="759B9121" w14:textId="3F604050"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tc>
        <w:tc>
          <w:tcPr>
            <w:tcW w:w="7471" w:type="dxa"/>
          </w:tcPr>
          <w:p w14:paraId="6C1BA7CE"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Expatriates are granted employment permits to work in Zambia. Investors are provided facilitation of acquisition of employment permits.</w:t>
            </w:r>
          </w:p>
        </w:tc>
      </w:tr>
      <w:tr w:rsidR="00D16635" w:rsidRPr="006311F5" w14:paraId="05B0A64F" w14:textId="77777777" w:rsidTr="00D16635">
        <w:tc>
          <w:tcPr>
            <w:tcW w:w="1385" w:type="dxa"/>
          </w:tcPr>
          <w:p w14:paraId="60420896"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7471" w:type="dxa"/>
          </w:tcPr>
          <w:p w14:paraId="60505A9A"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Government protects investors against nationalisation. Investors can enter into Investment Promotion and Protection Agreement with the Government. Zambia is a member of the World Bank's Multilateral Investment Guarantee Agency (MIGA).</w:t>
            </w:r>
          </w:p>
        </w:tc>
      </w:tr>
    </w:tbl>
    <w:p w14:paraId="54497F2D" w14:textId="57BFEA21" w:rsidR="00E753FD" w:rsidRDefault="00D16635" w:rsidP="00415DD1">
      <w:pPr>
        <w:spacing w:before="0" w:after="0" w:line="240" w:lineRule="auto"/>
        <w:jc w:val="left"/>
        <w:rPr>
          <w:rFonts w:ascii="Garamond" w:hAnsi="Garamond"/>
        </w:rPr>
      </w:pPr>
      <w:r w:rsidRPr="006311F5">
        <w:rPr>
          <w:rFonts w:ascii="Garamond" w:hAnsi="Garamond"/>
        </w:rPr>
        <w:t>Source: RETOSA 2014, pp90-92</w:t>
      </w:r>
    </w:p>
    <w:p w14:paraId="7885CE0D" w14:textId="77777777" w:rsidR="00415DD1" w:rsidRPr="00415DD1" w:rsidRDefault="00415DD1" w:rsidP="00415DD1">
      <w:pPr>
        <w:spacing w:before="0" w:after="0" w:line="240" w:lineRule="auto"/>
        <w:jc w:val="left"/>
        <w:rPr>
          <w:rFonts w:ascii="Garamond" w:hAnsi="Garamond"/>
        </w:rPr>
      </w:pPr>
    </w:p>
    <w:p w14:paraId="22A0CE4C" w14:textId="77777777" w:rsidR="00E753FD" w:rsidRPr="006311F5" w:rsidRDefault="00E753FD" w:rsidP="00E753FD">
      <w:pPr>
        <w:pStyle w:val="Heading3"/>
        <w:rPr>
          <w:rFonts w:ascii="Garamond" w:hAnsi="Garamond"/>
        </w:rPr>
      </w:pPr>
      <w:bookmarkStart w:id="98" w:name="_Toc269636373"/>
      <w:r w:rsidRPr="006311F5">
        <w:rPr>
          <w:rFonts w:ascii="Garamond" w:hAnsi="Garamond"/>
        </w:rPr>
        <w:t>zimbabwe</w:t>
      </w:r>
      <w:bookmarkEnd w:id="98"/>
    </w:p>
    <w:p w14:paraId="1662C8A4" w14:textId="2F6EB47D" w:rsidR="00415DD1" w:rsidRPr="00415DD1" w:rsidRDefault="00415DD1" w:rsidP="00415DD1">
      <w:pPr>
        <w:rPr>
          <w:rFonts w:ascii="Garamond" w:hAnsi="Garamond"/>
          <w:b/>
        </w:rPr>
      </w:pPr>
      <w:r w:rsidRPr="00415DD1">
        <w:rPr>
          <w:rFonts w:ascii="Garamond" w:hAnsi="Garamond"/>
          <w:b/>
        </w:rPr>
        <w:t>Concession information</w:t>
      </w:r>
    </w:p>
    <w:tbl>
      <w:tblPr>
        <w:tblStyle w:val="TableGrid"/>
        <w:tblW w:w="0" w:type="auto"/>
        <w:tblLook w:val="04A0" w:firstRow="1" w:lastRow="0" w:firstColumn="1" w:lastColumn="0" w:noHBand="0" w:noVBand="1"/>
      </w:tblPr>
      <w:tblGrid>
        <w:gridCol w:w="2047"/>
        <w:gridCol w:w="6850"/>
      </w:tblGrid>
      <w:tr w:rsidR="00415DD1" w:rsidRPr="00415DD1" w14:paraId="093F207B" w14:textId="77777777" w:rsidTr="00415DD1">
        <w:tc>
          <w:tcPr>
            <w:tcW w:w="2047" w:type="dxa"/>
          </w:tcPr>
          <w:p w14:paraId="66B7F20D"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Relevant policies, strategies and legislation</w:t>
            </w:r>
          </w:p>
        </w:tc>
        <w:tc>
          <w:tcPr>
            <w:tcW w:w="6850" w:type="dxa"/>
          </w:tcPr>
          <w:p w14:paraId="2C960035" w14:textId="77777777" w:rsidR="00415DD1" w:rsidRDefault="00415DD1" w:rsidP="00415DD1">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The Forest Act allocates large areas of former communal land to the Forestry Commission, which leases timber, hunting and photographic tourism concessions. (Contour 2012:42)</w:t>
            </w:r>
          </w:p>
          <w:p w14:paraId="20F17622" w14:textId="77777777" w:rsidR="00415DD1" w:rsidRDefault="00415DD1" w:rsidP="00415DD1">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hAnsi="Garamond"/>
                <w:sz w:val="20"/>
                <w:szCs w:val="20"/>
              </w:rPr>
              <w:t>Tourism Act, 2001 amended 2004, 2009</w:t>
            </w:r>
          </w:p>
          <w:p w14:paraId="3B88C6CB"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hAnsi="Garamond"/>
                <w:sz w:val="20"/>
                <w:szCs w:val="20"/>
              </w:rPr>
              <w:t>National Tourism Policy, 2012</w:t>
            </w:r>
          </w:p>
        </w:tc>
      </w:tr>
      <w:tr w:rsidR="00415DD1" w:rsidRPr="00415DD1" w14:paraId="4E383F10" w14:textId="77777777" w:rsidTr="00415DD1">
        <w:tc>
          <w:tcPr>
            <w:tcW w:w="2047" w:type="dxa"/>
          </w:tcPr>
          <w:p w14:paraId="55CDD424"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Concession models used</w:t>
            </w:r>
          </w:p>
        </w:tc>
        <w:tc>
          <w:tcPr>
            <w:tcW w:w="6850" w:type="dxa"/>
          </w:tcPr>
          <w:p w14:paraId="285489D3" w14:textId="2CC08AEA" w:rsidR="00415DD1" w:rsidRPr="00415DD1" w:rsidRDefault="006B7678" w:rsidP="00415DD1">
            <w:pPr>
              <w:widowControl w:val="0"/>
              <w:autoSpaceDE w:val="0"/>
              <w:autoSpaceDN w:val="0"/>
              <w:adjustRightInd w:val="0"/>
              <w:spacing w:before="0" w:after="0" w:line="240" w:lineRule="auto"/>
              <w:rPr>
                <w:rFonts w:ascii="Garamond" w:hAnsi="Garamond" w:cs="Times"/>
                <w:sz w:val="20"/>
                <w:szCs w:val="20"/>
              </w:rPr>
            </w:pPr>
            <w:r>
              <w:rPr>
                <w:rFonts w:ascii="Garamond" w:hAnsi="Garamond" w:cs="Times"/>
                <w:sz w:val="20"/>
                <w:szCs w:val="20"/>
              </w:rPr>
              <w:t>Concession (BOT)</w:t>
            </w:r>
          </w:p>
        </w:tc>
      </w:tr>
      <w:tr w:rsidR="00415DD1" w:rsidRPr="00415DD1" w14:paraId="34D04A21" w14:textId="77777777" w:rsidTr="00415DD1">
        <w:tc>
          <w:tcPr>
            <w:tcW w:w="2047" w:type="dxa"/>
          </w:tcPr>
          <w:p w14:paraId="5ED839B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Examples of concession processes</w:t>
            </w:r>
          </w:p>
        </w:tc>
        <w:tc>
          <w:tcPr>
            <w:tcW w:w="6850" w:type="dxa"/>
          </w:tcPr>
          <w:p w14:paraId="66EDDF50" w14:textId="46FE8C81"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Pr>
                <w:rFonts w:ascii="Garamond" w:eastAsiaTheme="minorEastAsia" w:hAnsi="Garamond" w:cs="Times"/>
                <w:sz w:val="20"/>
                <w:szCs w:val="20"/>
              </w:rPr>
              <w:t xml:space="preserve">Tender process: </w:t>
            </w:r>
            <w:r w:rsidRPr="00415DD1">
              <w:rPr>
                <w:rFonts w:ascii="Garamond" w:eastAsiaTheme="minorEastAsia" w:hAnsi="Garamond" w:cs="Times"/>
                <w:sz w:val="20"/>
                <w:szCs w:val="20"/>
              </w:rPr>
              <w:t>Gonarezhou (Zisadza, 2009)</w:t>
            </w:r>
          </w:p>
          <w:p w14:paraId="4E9CE7B0" w14:textId="77777777" w:rsidR="00415DD1" w:rsidRPr="00415DD1" w:rsidRDefault="00415DD1" w:rsidP="00415DD1">
            <w:pPr>
              <w:pStyle w:val="ListParagraph"/>
              <w:widowControl w:val="0"/>
              <w:numPr>
                <w:ilvl w:val="0"/>
                <w:numId w:val="67"/>
              </w:numPr>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Phase 1: Market analysis; legal and institutional analysis; review of local business interests/empowerment options; design of bid process; approval of materials and process</w:t>
            </w:r>
          </w:p>
          <w:p w14:paraId="74712CCA" w14:textId="77777777" w:rsidR="00415DD1" w:rsidRPr="00415DD1" w:rsidRDefault="00415DD1" w:rsidP="00415DD1">
            <w:pPr>
              <w:pStyle w:val="ListParagraph"/>
              <w:widowControl w:val="0"/>
              <w:numPr>
                <w:ilvl w:val="0"/>
                <w:numId w:val="67"/>
              </w:numPr>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 xml:space="preserve">Phase 2: Implementation – prequalification; due diligence by prequalified bidders; bidding, evaluation and contracting </w:t>
            </w:r>
          </w:p>
        </w:tc>
      </w:tr>
      <w:tr w:rsidR="00415DD1" w:rsidRPr="00415DD1" w14:paraId="20717794" w14:textId="77777777" w:rsidTr="00415DD1">
        <w:tc>
          <w:tcPr>
            <w:tcW w:w="2047" w:type="dxa"/>
          </w:tcPr>
          <w:p w14:paraId="35B89A7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Tourism investment guidelines in PAs</w:t>
            </w:r>
          </w:p>
        </w:tc>
        <w:tc>
          <w:tcPr>
            <w:tcW w:w="6850" w:type="dxa"/>
          </w:tcPr>
          <w:p w14:paraId="0D696C6E" w14:textId="58BEA775"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All proposals for investment in Zimbabwe must be submitted to the Zimbabwe Investment Authority (ZIA).</w:t>
            </w:r>
          </w:p>
        </w:tc>
      </w:tr>
      <w:tr w:rsidR="00415DD1" w:rsidRPr="00415DD1" w14:paraId="77EE95A2" w14:textId="77777777" w:rsidTr="00415DD1">
        <w:tc>
          <w:tcPr>
            <w:tcW w:w="2047" w:type="dxa"/>
          </w:tcPr>
          <w:p w14:paraId="3C052469"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Concession manuals and tools</w:t>
            </w:r>
          </w:p>
        </w:tc>
        <w:tc>
          <w:tcPr>
            <w:tcW w:w="6850" w:type="dxa"/>
          </w:tcPr>
          <w:p w14:paraId="2C529A1A"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(any exist?)</w:t>
            </w:r>
          </w:p>
        </w:tc>
      </w:tr>
      <w:tr w:rsidR="00415DD1" w:rsidRPr="00415DD1" w14:paraId="71EA2A37" w14:textId="77777777" w:rsidTr="00415DD1">
        <w:tc>
          <w:tcPr>
            <w:tcW w:w="2047" w:type="dxa"/>
          </w:tcPr>
          <w:p w14:paraId="16EF5EE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Highly effective concession processes</w:t>
            </w:r>
          </w:p>
        </w:tc>
        <w:tc>
          <w:tcPr>
            <w:tcW w:w="6850" w:type="dxa"/>
          </w:tcPr>
          <w:p w14:paraId="7819029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(i.e. for scaling up to other SADC countries)</w:t>
            </w:r>
          </w:p>
          <w:p w14:paraId="7285FF13"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19976508" w14:textId="51D9080A"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Based on findings from Gonarezhou: (</w:t>
            </w:r>
            <w:r w:rsidRPr="00415DD1">
              <w:rPr>
                <w:rFonts w:ascii="Garamond" w:eastAsiaTheme="minorEastAsia" w:hAnsi="Garamond" w:cs="Times"/>
                <w:sz w:val="20"/>
                <w:szCs w:val="20"/>
              </w:rPr>
              <w:t>Zisadza, 2009)</w:t>
            </w:r>
            <w:r w:rsidR="006B7678">
              <w:rPr>
                <w:rFonts w:ascii="Garamond" w:eastAsiaTheme="minorEastAsia" w:hAnsi="Garamond" w:cs="Times"/>
                <w:sz w:val="20"/>
                <w:szCs w:val="20"/>
              </w:rPr>
              <w:t xml:space="preserve">, recommendations include to use: </w:t>
            </w:r>
          </w:p>
          <w:p w14:paraId="600B9163"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Comprehensive and standardized contracts (e.g. SANParks template)</w:t>
            </w:r>
          </w:p>
          <w:p w14:paraId="36D5669F"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Prequalification criteria that ensure bidders have sufficient financial and technical capacity to be successful in the investment.</w:t>
            </w:r>
          </w:p>
          <w:p w14:paraId="33CEAB91"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Having a due diligence process</w:t>
            </w:r>
          </w:p>
          <w:p w14:paraId="6EB0062F" w14:textId="50B52F01" w:rsidR="00415DD1" w:rsidRPr="006B7678" w:rsidRDefault="00415DD1" w:rsidP="006B7678">
            <w:pPr>
              <w:pStyle w:val="ListParagraph"/>
              <w:numPr>
                <w:ilvl w:val="0"/>
                <w:numId w:val="68"/>
              </w:numPr>
              <w:spacing w:line="240" w:lineRule="auto"/>
              <w:rPr>
                <w:rFonts w:ascii="Garamond" w:hAnsi="Garamond"/>
                <w:sz w:val="20"/>
                <w:szCs w:val="20"/>
              </w:rPr>
            </w:pPr>
            <w:r w:rsidRPr="00415DD1">
              <w:rPr>
                <w:rFonts w:ascii="Garamond" w:hAnsi="Garamond"/>
                <w:sz w:val="20"/>
                <w:szCs w:val="20"/>
              </w:rPr>
              <w:t>Having a bid evaluation process with an ‘adjudication committee’, ‘final selection criteria’ a</w:t>
            </w:r>
            <w:r w:rsidR="006B7678">
              <w:rPr>
                <w:rFonts w:ascii="Garamond" w:hAnsi="Garamond"/>
                <w:sz w:val="20"/>
                <w:szCs w:val="20"/>
              </w:rPr>
              <w:t>nd clear, objective weightings.</w:t>
            </w:r>
          </w:p>
        </w:tc>
      </w:tr>
      <w:tr w:rsidR="00415DD1" w:rsidRPr="00415DD1" w14:paraId="02907987" w14:textId="77777777" w:rsidTr="00415DD1">
        <w:tc>
          <w:tcPr>
            <w:tcW w:w="2047" w:type="dxa"/>
          </w:tcPr>
          <w:p w14:paraId="3F62649C"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Lessons learned</w:t>
            </w:r>
          </w:p>
        </w:tc>
        <w:tc>
          <w:tcPr>
            <w:tcW w:w="6850" w:type="dxa"/>
          </w:tcPr>
          <w:p w14:paraId="3CBA8C6A"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(for guidelines)</w:t>
            </w:r>
          </w:p>
          <w:p w14:paraId="5BA98CE2"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128E93C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 xml:space="preserve">Limpopo Sashe TFCA: Tuli Circle, Maramani and Nottingham Estate – </w:t>
            </w:r>
            <w:r w:rsidRPr="00415DD1">
              <w:rPr>
                <w:rFonts w:ascii="Garamond" w:hAnsi="Garamond" w:cs="Times"/>
                <w:sz w:val="20"/>
                <w:szCs w:val="20"/>
                <w:highlight w:val="yellow"/>
              </w:rPr>
              <w:t>any progress?</w:t>
            </w:r>
          </w:p>
          <w:p w14:paraId="02C8967C"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6441CE50"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In Gonarezhou (</w:t>
            </w:r>
            <w:r w:rsidRPr="00415DD1">
              <w:rPr>
                <w:rFonts w:ascii="Garamond" w:eastAsiaTheme="minorEastAsia" w:hAnsi="Garamond" w:cs="Times"/>
                <w:sz w:val="20"/>
                <w:szCs w:val="20"/>
              </w:rPr>
              <w:t>Zisadza, 2009)</w:t>
            </w:r>
          </w:p>
          <w:p w14:paraId="4B94C6E7" w14:textId="0E1636D6" w:rsidR="00415DD1" w:rsidRPr="00415DD1" w:rsidRDefault="006B7678" w:rsidP="00415DD1">
            <w:pPr>
              <w:pStyle w:val="ListParagraph"/>
              <w:numPr>
                <w:ilvl w:val="0"/>
                <w:numId w:val="66"/>
              </w:numPr>
              <w:spacing w:line="240" w:lineRule="auto"/>
              <w:rPr>
                <w:rFonts w:ascii="Garamond" w:hAnsi="Garamond"/>
                <w:sz w:val="20"/>
                <w:szCs w:val="20"/>
              </w:rPr>
            </w:pPr>
            <w:r>
              <w:rPr>
                <w:rFonts w:ascii="Garamond" w:hAnsi="Garamond"/>
                <w:sz w:val="20"/>
                <w:szCs w:val="20"/>
              </w:rPr>
              <w:t>t</w:t>
            </w:r>
            <w:r w:rsidR="00415DD1" w:rsidRPr="00415DD1">
              <w:rPr>
                <w:rFonts w:ascii="Garamond" w:hAnsi="Garamond"/>
                <w:sz w:val="20"/>
                <w:szCs w:val="20"/>
              </w:rPr>
              <w:t>here was no clear or well defined method for evaluating the bids, and was not considered to be transparent.</w:t>
            </w:r>
          </w:p>
          <w:p w14:paraId="259F75B8"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Bid scores was supposed to be available for public scrutiny (</w:t>
            </w:r>
            <w:r w:rsidRPr="00415DD1">
              <w:rPr>
                <w:rFonts w:ascii="Garamond" w:hAnsi="Garamond"/>
                <w:sz w:val="20"/>
                <w:szCs w:val="20"/>
                <w:highlight w:val="yellow"/>
              </w:rPr>
              <w:t>did this happen? What was the process if they disagreed?)</w:t>
            </w:r>
          </w:p>
          <w:p w14:paraId="7173D99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Bidding Memorandum lacked information on empowerment of local communities and businesses. </w:t>
            </w:r>
          </w:p>
          <w:p w14:paraId="046FC6E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Having a participatory process of evaluation committee member nomination, and including on the committee an independent specialist and a local community representative would have been advantageous.  </w:t>
            </w:r>
          </w:p>
          <w:p w14:paraId="4F2E83BA"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Bid deposits could have been introduced, in case a winning bidder failed to implement the project. Then the deposit could be used by ZPWMA, and could proceed to discuss options with the second-placed bidder.</w:t>
            </w:r>
          </w:p>
          <w:p w14:paraId="4680616B"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Concessionaires </w:t>
            </w:r>
            <w:r w:rsidRPr="00415DD1">
              <w:rPr>
                <w:rFonts w:ascii="Garamond" w:hAnsi="Garamond"/>
                <w:sz w:val="20"/>
                <w:szCs w:val="20"/>
                <w:highlight w:val="yellow"/>
              </w:rPr>
              <w:t>have</w:t>
            </w:r>
            <w:r w:rsidRPr="00415DD1">
              <w:rPr>
                <w:rFonts w:ascii="Garamond" w:hAnsi="Garamond"/>
                <w:sz w:val="20"/>
                <w:szCs w:val="20"/>
              </w:rPr>
              <w:t xml:space="preserve"> not all developed their sites (</w:t>
            </w:r>
            <w:r w:rsidRPr="00415DD1">
              <w:rPr>
                <w:rFonts w:ascii="Garamond" w:hAnsi="Garamond"/>
                <w:sz w:val="20"/>
                <w:szCs w:val="20"/>
                <w:highlight w:val="yellow"/>
              </w:rPr>
              <w:t>still true?),</w:t>
            </w:r>
            <w:r w:rsidRPr="00415DD1">
              <w:rPr>
                <w:rFonts w:ascii="Garamond" w:hAnsi="Garamond"/>
                <w:sz w:val="20"/>
                <w:szCs w:val="20"/>
              </w:rPr>
              <w:t xml:space="preserve"> and all EIAs that ‘claimed’ to have been implemented were not done properly, or through appropriate channels.</w:t>
            </w:r>
          </w:p>
          <w:p w14:paraId="46262076"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Weak coordination meant that GNP management were not available for on-the-ground information for most sites. Since demarcation of the sites had not been done, visits by investors by themselves were not focused on the available sites. </w:t>
            </w:r>
          </w:p>
          <w:p w14:paraId="3FB8197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‘As a result’ </w:t>
            </w:r>
            <w:r w:rsidRPr="00415DD1">
              <w:rPr>
                <w:rFonts w:ascii="Garamond" w:hAnsi="Garamond"/>
                <w:sz w:val="20"/>
                <w:szCs w:val="20"/>
                <w:highlight w:val="yellow"/>
              </w:rPr>
              <w:t>(?)</w:t>
            </w:r>
            <w:r w:rsidRPr="00415DD1">
              <w:rPr>
                <w:rFonts w:ascii="Garamond" w:hAnsi="Garamond"/>
                <w:sz w:val="20"/>
                <w:szCs w:val="20"/>
              </w:rPr>
              <w:t xml:space="preserve"> most of the sites were at the main attractions/resources of GNP that all visitors would wish to see, rather than the basis for exclusive concession areas desired by investors. This led to public controversy and lengthy negotiations with concessionaires (i.e. 2 years). </w:t>
            </w:r>
          </w:p>
          <w:p w14:paraId="14B6F3A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The rental rates are very (e.g. by comparison, rental of a 4-bed house in Harare can range from USD12,000–USD42,000 per year</w:t>
            </w:r>
            <w:r w:rsidRPr="00415DD1">
              <w:rPr>
                <w:rStyle w:val="FootnoteReference"/>
                <w:rFonts w:ascii="Garamond" w:hAnsi="Garamond"/>
                <w:sz w:val="20"/>
                <w:szCs w:val="20"/>
              </w:rPr>
              <w:footnoteReference w:id="78"/>
            </w:r>
            <w:r w:rsidRPr="00415DD1">
              <w:rPr>
                <w:rFonts w:ascii="Garamond" w:hAnsi="Garamond"/>
                <w:sz w:val="20"/>
                <w:szCs w:val="20"/>
              </w:rPr>
              <w:t xml:space="preserve">). It is not clear whether the lease values were offered by the bidders, or suggested by ZPWMA. </w:t>
            </w:r>
          </w:p>
          <w:p w14:paraId="49AF2C2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A five year concession period is very short duration for a company to undertake an EIA, develop infrastructure, establish a business, operate it and and make a return on its investment.</w:t>
            </w:r>
          </w:p>
          <w:p w14:paraId="603ED5F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prequalification materials noted the development of ‘semi-permanent’ facilities, but did not define what this meant. The lack of clarity created confusion among some investors. </w:t>
            </w:r>
          </w:p>
          <w:p w14:paraId="65A3958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Prequalification did not address empowerment and participation of local communities, in relation to the Indigenization Act. </w:t>
            </w:r>
          </w:p>
          <w:p w14:paraId="4FAD8290"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ZPWMA and MoET were concerned that the process was taking too long, and requested that the EoI be dropped in favour of just a prequalification phase. As a compromise, the prequalification phase was modified so that only participants complying with established criteria would be evaluated. (</w:t>
            </w:r>
            <w:r w:rsidRPr="00415DD1">
              <w:rPr>
                <w:rFonts w:ascii="Garamond" w:hAnsi="Garamond"/>
                <w:sz w:val="20"/>
                <w:szCs w:val="20"/>
                <w:highlight w:val="yellow"/>
              </w:rPr>
              <w:t>Clarify .</w:t>
            </w:r>
            <w:r w:rsidRPr="00415DD1">
              <w:rPr>
                <w:rFonts w:ascii="Garamond" w:hAnsi="Garamond"/>
                <w:sz w:val="20"/>
                <w:szCs w:val="20"/>
              </w:rPr>
              <w:t xml:space="preserve"> . . Pp12)</w:t>
            </w:r>
          </w:p>
          <w:p w14:paraId="4E76B291"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Provide defined and consistent descriptions of tourism opportunities (e.g. no. beds, level exclusivity, size of area, future competitive products, complementary infrastructure, obligations of ZPWMA)</w:t>
            </w:r>
          </w:p>
          <w:p w14:paraId="3AAD3FDD"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Defining the sites and bidding process would have been improved if done in consultation in consultation with conservation partners and potential investors, and if a list of potential investors had been established. </w:t>
            </w:r>
          </w:p>
          <w:p w14:paraId="2377DD4D"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process would have benefited from a conservation partnerships forum to organize workshops with stakeholders, and to discuss participation (including through Community Public Private Partnerships (CPPPs)). </w:t>
            </w:r>
          </w:p>
          <w:p w14:paraId="4871888C"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opportunity to use donor funds to finance community equity stakes could have been explored. </w:t>
            </w:r>
          </w:p>
          <w:p w14:paraId="25BA991B" w14:textId="77D1923A" w:rsidR="00415DD1" w:rsidRPr="006B7678" w:rsidRDefault="00415DD1" w:rsidP="006B7678">
            <w:pPr>
              <w:pStyle w:val="ListParagraph"/>
              <w:numPr>
                <w:ilvl w:val="0"/>
                <w:numId w:val="66"/>
              </w:numPr>
              <w:spacing w:line="240" w:lineRule="auto"/>
              <w:rPr>
                <w:rFonts w:ascii="Garamond" w:hAnsi="Garamond"/>
                <w:sz w:val="20"/>
                <w:szCs w:val="20"/>
              </w:rPr>
            </w:pPr>
            <w:r w:rsidRPr="00415DD1">
              <w:rPr>
                <w:rFonts w:ascii="Garamond" w:hAnsi="Garamond"/>
                <w:sz w:val="20"/>
                <w:szCs w:val="20"/>
              </w:rPr>
              <w:t>A tender evaluation criteria relating to opportunities for local people and Zimbabwean enterprises could have been included, to encourage more local participation and partnerships.  However, bidders had to include Zimbabwean citizens as the propo</w:t>
            </w:r>
            <w:r w:rsidR="006B7678">
              <w:rPr>
                <w:rFonts w:ascii="Garamond" w:hAnsi="Garamond"/>
                <w:sz w:val="20"/>
                <w:szCs w:val="20"/>
              </w:rPr>
              <w:t>nent, or within a joint-venture</w:t>
            </w:r>
          </w:p>
        </w:tc>
      </w:tr>
    </w:tbl>
    <w:p w14:paraId="7B92E5EA" w14:textId="450EE086" w:rsidR="00415DD1" w:rsidRPr="00415DD1" w:rsidRDefault="00415DD1" w:rsidP="00415DD1">
      <w:pPr>
        <w:rPr>
          <w:rFonts w:ascii="Garamond" w:hAnsi="Garamond"/>
          <w:b/>
        </w:rPr>
      </w:pPr>
      <w:r w:rsidRPr="00415DD1">
        <w:rPr>
          <w:rFonts w:ascii="Garamond" w:hAnsi="Garamond"/>
          <w:b/>
        </w:rPr>
        <w:t>Investor information</w:t>
      </w:r>
    </w:p>
    <w:tbl>
      <w:tblPr>
        <w:tblStyle w:val="TableGrid"/>
        <w:tblW w:w="0" w:type="auto"/>
        <w:tblLook w:val="04A0" w:firstRow="1" w:lastRow="0" w:firstColumn="1" w:lastColumn="0" w:noHBand="0" w:noVBand="1"/>
      </w:tblPr>
      <w:tblGrid>
        <w:gridCol w:w="1586"/>
        <w:gridCol w:w="7270"/>
      </w:tblGrid>
      <w:tr w:rsidR="00415DD1" w:rsidRPr="00415DD1" w14:paraId="3169F3DB" w14:textId="77777777" w:rsidTr="003F6A72">
        <w:tc>
          <w:tcPr>
            <w:tcW w:w="1586" w:type="dxa"/>
          </w:tcPr>
          <w:p w14:paraId="4D8B32D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International airports</w:t>
            </w:r>
          </w:p>
        </w:tc>
        <w:tc>
          <w:tcPr>
            <w:tcW w:w="7270" w:type="dxa"/>
          </w:tcPr>
          <w:p w14:paraId="702AB4E0"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Harare, Victoria Falls (others?)</w:t>
            </w:r>
          </w:p>
        </w:tc>
      </w:tr>
      <w:tr w:rsidR="00415DD1" w:rsidRPr="00415DD1" w14:paraId="223B72D4" w14:textId="77777777" w:rsidTr="003F6A72">
        <w:tc>
          <w:tcPr>
            <w:tcW w:w="1586" w:type="dxa"/>
          </w:tcPr>
          <w:p w14:paraId="48BCE369"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National carrier</w:t>
            </w:r>
          </w:p>
        </w:tc>
        <w:tc>
          <w:tcPr>
            <w:tcW w:w="7270" w:type="dxa"/>
          </w:tcPr>
          <w:p w14:paraId="116D1E98"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Zimbabwe Air</w:t>
            </w:r>
          </w:p>
        </w:tc>
      </w:tr>
      <w:tr w:rsidR="00415DD1" w:rsidRPr="00415DD1" w14:paraId="0DBB0026" w14:textId="77777777" w:rsidTr="003F6A72">
        <w:tc>
          <w:tcPr>
            <w:tcW w:w="1586" w:type="dxa"/>
          </w:tcPr>
          <w:p w14:paraId="5DB0FF0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Internal transport</w:t>
            </w:r>
          </w:p>
        </w:tc>
        <w:tc>
          <w:tcPr>
            <w:tcW w:w="7270" w:type="dxa"/>
          </w:tcPr>
          <w:p w14:paraId="6A34FC2B"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w:t>
            </w:r>
          </w:p>
        </w:tc>
      </w:tr>
      <w:tr w:rsidR="00415DD1" w:rsidRPr="00415DD1" w14:paraId="3047BF02" w14:textId="77777777" w:rsidTr="003F6A72">
        <w:tc>
          <w:tcPr>
            <w:tcW w:w="1586" w:type="dxa"/>
          </w:tcPr>
          <w:p w14:paraId="5A017550"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Communications availability</w:t>
            </w:r>
          </w:p>
        </w:tc>
        <w:tc>
          <w:tcPr>
            <w:tcW w:w="7270" w:type="dxa"/>
          </w:tcPr>
          <w:p w14:paraId="04FE7128"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w:t>
            </w:r>
          </w:p>
        </w:tc>
      </w:tr>
      <w:tr w:rsidR="00415DD1" w:rsidRPr="00415DD1" w14:paraId="5B7386A3" w14:textId="77777777" w:rsidTr="003F6A72">
        <w:tc>
          <w:tcPr>
            <w:tcW w:w="1586" w:type="dxa"/>
          </w:tcPr>
          <w:p w14:paraId="4B778166"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Corporate tax rate</w:t>
            </w:r>
          </w:p>
        </w:tc>
        <w:tc>
          <w:tcPr>
            <w:tcW w:w="7270" w:type="dxa"/>
          </w:tcPr>
          <w:p w14:paraId="42ABFF72"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25%   </w:t>
            </w:r>
          </w:p>
        </w:tc>
      </w:tr>
      <w:tr w:rsidR="00415DD1" w:rsidRPr="00415DD1" w14:paraId="02104F98" w14:textId="77777777" w:rsidTr="003F6A72">
        <w:tc>
          <w:tcPr>
            <w:tcW w:w="1586" w:type="dxa"/>
          </w:tcPr>
          <w:p w14:paraId="7A010D54"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Rules regarding repatriation of profits and dividends</w:t>
            </w:r>
          </w:p>
        </w:tc>
        <w:tc>
          <w:tcPr>
            <w:tcW w:w="7270" w:type="dxa"/>
          </w:tcPr>
          <w:p w14:paraId="156941DC"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 xml:space="preserve">100% remittability of profits </w:t>
            </w:r>
          </w:p>
        </w:tc>
      </w:tr>
      <w:tr w:rsidR="00415DD1" w:rsidRPr="00415DD1" w14:paraId="063F5B8B" w14:textId="77777777" w:rsidTr="003F6A72">
        <w:tc>
          <w:tcPr>
            <w:tcW w:w="1586" w:type="dxa"/>
          </w:tcPr>
          <w:p w14:paraId="46CA3650"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Investment Incentives</w:t>
            </w:r>
          </w:p>
        </w:tc>
        <w:tc>
          <w:tcPr>
            <w:tcW w:w="7270" w:type="dxa"/>
          </w:tcPr>
          <w:p w14:paraId="56926877"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Duty exemption on specified capital goods imported for use in TDZs Taxation on investments is as follows: </w:t>
            </w:r>
          </w:p>
          <w:p w14:paraId="49BE8010"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First 5 years of operation 0% </w:t>
            </w:r>
          </w:p>
          <w:p w14:paraId="2C43AFB1"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Second 5 years of operation 15% </w:t>
            </w:r>
          </w:p>
          <w:p w14:paraId="3BB7F6E3"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Third 5 years of operation 20%</w:t>
            </w:r>
          </w:p>
          <w:p w14:paraId="1B873749"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Thereafter normal rates of corporate tax apply</w:t>
            </w:r>
          </w:p>
          <w:p w14:paraId="2D60B6AD"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Quick processing of investment licences (24 hours)</w:t>
            </w:r>
          </w:p>
          <w:p w14:paraId="724CC570"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Zimbabwe Tourism Authority (ZTA) provides free advisory services</w:t>
            </w:r>
          </w:p>
        </w:tc>
      </w:tr>
      <w:tr w:rsidR="00415DD1" w:rsidRPr="00415DD1" w14:paraId="5AD64029" w14:textId="77777777" w:rsidTr="003F6A72">
        <w:tc>
          <w:tcPr>
            <w:tcW w:w="1586" w:type="dxa"/>
          </w:tcPr>
          <w:p w14:paraId="47A78EBB"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Rules related to requirements for local partners</w:t>
            </w:r>
          </w:p>
        </w:tc>
        <w:tc>
          <w:tcPr>
            <w:tcW w:w="7270" w:type="dxa"/>
          </w:tcPr>
          <w:p w14:paraId="021B6E5C"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Facilitation of access to land</w:t>
            </w:r>
          </w:p>
          <w:p w14:paraId="71656B67"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Equity of up to 51% in line with the Indigenisation Policy. The policy is however flexible and may be dependent on the nature and size of the investment.</w:t>
            </w:r>
          </w:p>
        </w:tc>
      </w:tr>
      <w:tr w:rsidR="00415DD1" w:rsidRPr="00415DD1" w14:paraId="7B04EBE5" w14:textId="77777777" w:rsidTr="003F6A72">
        <w:tc>
          <w:tcPr>
            <w:tcW w:w="1586" w:type="dxa"/>
          </w:tcPr>
          <w:p w14:paraId="68684B78"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Rules regarding land ownership by foreign companies</w:t>
            </w:r>
          </w:p>
        </w:tc>
        <w:tc>
          <w:tcPr>
            <w:tcW w:w="7270" w:type="dxa"/>
          </w:tcPr>
          <w:p w14:paraId="04242DFD"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Foreign investors may acquire land through outright purchase (freehold title) especially in urban centres, and through long term leases (leasehold title) for land owned by local and central government (state land) including land in parks or game reserves.</w:t>
            </w:r>
          </w:p>
        </w:tc>
      </w:tr>
      <w:tr w:rsidR="00415DD1" w:rsidRPr="00415DD1" w14:paraId="07A646E4" w14:textId="77777777" w:rsidTr="003F6A72">
        <w:tc>
          <w:tcPr>
            <w:tcW w:w="1586" w:type="dxa"/>
          </w:tcPr>
          <w:p w14:paraId="06DA97B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Availability of work permits for expatriate staff</w:t>
            </w:r>
          </w:p>
        </w:tc>
        <w:tc>
          <w:tcPr>
            <w:tcW w:w="7270" w:type="dxa"/>
          </w:tcPr>
          <w:p w14:paraId="0AFC2F11"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These are granted on a case-by-case basis through the Department of Immigration and Control</w:t>
            </w:r>
          </w:p>
        </w:tc>
      </w:tr>
      <w:tr w:rsidR="00415DD1" w:rsidRPr="00415DD1" w14:paraId="5AD72107" w14:textId="77777777" w:rsidTr="003F6A72">
        <w:tc>
          <w:tcPr>
            <w:tcW w:w="1586" w:type="dxa"/>
          </w:tcPr>
          <w:p w14:paraId="10FA56A6"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Investment guarantees</w:t>
            </w:r>
          </w:p>
        </w:tc>
        <w:tc>
          <w:tcPr>
            <w:tcW w:w="7270" w:type="dxa"/>
          </w:tcPr>
          <w:p w14:paraId="6EDACC29"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Security of foreign investment is provided through Bilateral Investment Promotion and Protection Agreements (BIPPAs).</w:t>
            </w:r>
          </w:p>
        </w:tc>
      </w:tr>
      <w:tr w:rsidR="00415DD1" w:rsidRPr="00415DD1" w14:paraId="05885C33" w14:textId="77777777" w:rsidTr="003F6A72">
        <w:tc>
          <w:tcPr>
            <w:tcW w:w="1586" w:type="dxa"/>
          </w:tcPr>
          <w:p w14:paraId="0A1AE52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Restrictions on foreign investment</w:t>
            </w:r>
          </w:p>
        </w:tc>
        <w:tc>
          <w:tcPr>
            <w:tcW w:w="7270" w:type="dxa"/>
          </w:tcPr>
          <w:p w14:paraId="44D6F52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Certain types of investments are preserved for locals. These include car hire companies, guest houses, camping sites and restaurants.</w:t>
            </w:r>
          </w:p>
        </w:tc>
      </w:tr>
    </w:tbl>
    <w:p w14:paraId="5B45C161" w14:textId="77777777" w:rsidR="00415DD1" w:rsidRPr="00415DD1" w:rsidRDefault="00415DD1" w:rsidP="00415DD1">
      <w:pPr>
        <w:spacing w:before="0" w:after="0" w:line="240" w:lineRule="auto"/>
        <w:jc w:val="left"/>
        <w:rPr>
          <w:rFonts w:ascii="Garamond" w:hAnsi="Garamond"/>
          <w:sz w:val="20"/>
          <w:szCs w:val="20"/>
        </w:rPr>
      </w:pPr>
      <w:r w:rsidRPr="00415DD1">
        <w:rPr>
          <w:rFonts w:ascii="Garamond" w:hAnsi="Garamond"/>
          <w:sz w:val="20"/>
          <w:szCs w:val="20"/>
        </w:rPr>
        <w:t xml:space="preserve">Source: RETOSA 2014, pp98 </w:t>
      </w:r>
      <w:r w:rsidRPr="00415DD1">
        <w:rPr>
          <w:rFonts w:ascii="Garamond" w:hAnsi="Garamond"/>
          <w:sz w:val="20"/>
          <w:szCs w:val="20"/>
          <w:highlight w:val="yellow"/>
        </w:rPr>
        <w:t>(need extra for blanks)</w:t>
      </w:r>
    </w:p>
    <w:p w14:paraId="4CEE3A0C" w14:textId="7D27938E" w:rsidR="00F0174E" w:rsidRPr="00415DD1" w:rsidRDefault="00F0174E">
      <w:pPr>
        <w:spacing w:before="0" w:after="0" w:line="240" w:lineRule="auto"/>
        <w:jc w:val="left"/>
        <w:rPr>
          <w:rFonts w:ascii="Garamond" w:hAnsi="Garamond"/>
          <w:sz w:val="20"/>
          <w:szCs w:val="20"/>
        </w:rPr>
      </w:pPr>
      <w:r w:rsidRPr="00415DD1">
        <w:rPr>
          <w:rFonts w:ascii="Garamond" w:hAnsi="Garamond"/>
          <w:sz w:val="20"/>
          <w:szCs w:val="20"/>
        </w:rPr>
        <w:br w:type="page"/>
      </w:r>
    </w:p>
    <w:p w14:paraId="7254B8FA" w14:textId="77777777" w:rsidR="00BD4A1E" w:rsidRPr="006311F5" w:rsidRDefault="00BD4A1E" w:rsidP="00E753FD">
      <w:pPr>
        <w:spacing w:before="0" w:after="0" w:line="240" w:lineRule="auto"/>
        <w:jc w:val="left"/>
        <w:rPr>
          <w:rFonts w:ascii="Garamond" w:hAnsi="Garamond"/>
        </w:rPr>
      </w:pPr>
    </w:p>
    <w:p w14:paraId="6F91F198" w14:textId="1A8DD44A" w:rsidR="00BD4A1E" w:rsidRPr="006311F5" w:rsidRDefault="00BD4A1E" w:rsidP="00BD4A1E">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99" w:name="_Toc269636374"/>
      <w:r>
        <w:rPr>
          <w:rFonts w:ascii="Garamond" w:hAnsi="Garamond"/>
        </w:rPr>
        <w:t>Guideline development process</w:t>
      </w:r>
      <w:bookmarkEnd w:id="99"/>
    </w:p>
    <w:p w14:paraId="6BD5C504" w14:textId="6BE4630D" w:rsidR="006B7678" w:rsidRPr="006B7678" w:rsidRDefault="00BD4A1E" w:rsidP="006B7678">
      <w:pPr>
        <w:spacing w:line="240" w:lineRule="auto"/>
        <w:rPr>
          <w:rFonts w:ascii="Garamond" w:hAnsi="Garamond"/>
        </w:rPr>
      </w:pPr>
      <w:r>
        <w:rPr>
          <w:rFonts w:ascii="Garamond" w:hAnsi="Garamond"/>
        </w:rPr>
        <w:t>Method. Conceptual framework</w:t>
      </w:r>
      <w:r w:rsidR="00F0174E">
        <w:rPr>
          <w:rFonts w:ascii="Garamond" w:hAnsi="Garamond"/>
        </w:rPr>
        <w:t xml:space="preserve"> </w:t>
      </w:r>
      <w:r w:rsidR="00F0174E" w:rsidRPr="00F0174E">
        <w:rPr>
          <w:rFonts w:ascii="Garamond" w:hAnsi="Garamond"/>
          <w:highlight w:val="yellow"/>
        </w:rPr>
        <w:t>(to complete</w:t>
      </w:r>
      <w:r w:rsidR="006B7678">
        <w:rPr>
          <w:rFonts w:ascii="Garamond" w:hAnsi="Garamond"/>
          <w:highlight w:val="yellow"/>
        </w:rPr>
        <w:t>/update</w:t>
      </w:r>
      <w:r w:rsidR="008325D8">
        <w:rPr>
          <w:rFonts w:ascii="Garamond" w:hAnsi="Garamond"/>
          <w:highlight w:val="yellow"/>
        </w:rPr>
        <w:t xml:space="preserve"> at the end</w:t>
      </w:r>
      <w:r w:rsidR="00F0174E" w:rsidRPr="00F0174E">
        <w:rPr>
          <w:rFonts w:ascii="Garamond" w:hAnsi="Garamond"/>
          <w:highlight w:val="yellow"/>
        </w:rPr>
        <w:t>)</w:t>
      </w:r>
    </w:p>
    <w:tbl>
      <w:tblPr>
        <w:tblStyle w:val="TableGrid"/>
        <w:tblW w:w="0" w:type="auto"/>
        <w:tblLook w:val="04A0" w:firstRow="1" w:lastRow="0" w:firstColumn="1" w:lastColumn="0" w:noHBand="0" w:noVBand="1"/>
      </w:tblPr>
      <w:tblGrid>
        <w:gridCol w:w="6345"/>
        <w:gridCol w:w="2171"/>
      </w:tblGrid>
      <w:tr w:rsidR="006B7678" w14:paraId="62814CEB" w14:textId="77777777" w:rsidTr="003F6A72">
        <w:tc>
          <w:tcPr>
            <w:tcW w:w="6345" w:type="dxa"/>
          </w:tcPr>
          <w:p w14:paraId="313164EE"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Inception</w:t>
            </w:r>
            <w:r w:rsidRPr="006B7678">
              <w:rPr>
                <w:rFonts w:ascii="Garamond" w:hAnsi="Garamond"/>
                <w:sz w:val="20"/>
                <w:szCs w:val="20"/>
              </w:rPr>
              <w:t xml:space="preserve"> meeting and report</w:t>
            </w:r>
          </w:p>
        </w:tc>
        <w:tc>
          <w:tcPr>
            <w:tcW w:w="2171" w:type="dxa"/>
          </w:tcPr>
          <w:p w14:paraId="4EF9DC32"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Completed</w:t>
            </w:r>
          </w:p>
        </w:tc>
      </w:tr>
      <w:tr w:rsidR="006B7678" w14:paraId="61209FBF" w14:textId="77777777" w:rsidTr="003F6A72">
        <w:tc>
          <w:tcPr>
            <w:tcW w:w="6345" w:type="dxa"/>
          </w:tcPr>
          <w:p w14:paraId="1570BCA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Scoping</w:t>
            </w:r>
            <w:r w:rsidRPr="006B7678">
              <w:rPr>
                <w:rFonts w:ascii="Garamond" w:hAnsi="Garamond"/>
                <w:sz w:val="20"/>
                <w:szCs w:val="20"/>
              </w:rPr>
              <w:t>– on format and style of guideline, and draft ToC</w:t>
            </w:r>
          </w:p>
        </w:tc>
        <w:tc>
          <w:tcPr>
            <w:tcW w:w="2171" w:type="dxa"/>
          </w:tcPr>
          <w:p w14:paraId="2101E7A6" w14:textId="43CFAEE9" w:rsidR="006B7678" w:rsidRPr="006B7678" w:rsidRDefault="006B7678" w:rsidP="006B7678">
            <w:pPr>
              <w:spacing w:before="0" w:after="0" w:line="240" w:lineRule="auto"/>
              <w:rPr>
                <w:rFonts w:ascii="Garamond" w:hAnsi="Garamond"/>
                <w:sz w:val="20"/>
                <w:szCs w:val="20"/>
              </w:rPr>
            </w:pPr>
            <w:r>
              <w:rPr>
                <w:rFonts w:ascii="Garamond" w:hAnsi="Garamond"/>
                <w:sz w:val="20"/>
                <w:szCs w:val="20"/>
              </w:rPr>
              <w:t>Completed</w:t>
            </w:r>
          </w:p>
        </w:tc>
      </w:tr>
      <w:tr w:rsidR="006B7678" w14:paraId="28DDCEBA" w14:textId="77777777" w:rsidTr="003F6A72">
        <w:tc>
          <w:tcPr>
            <w:tcW w:w="6345" w:type="dxa"/>
          </w:tcPr>
          <w:p w14:paraId="3B9D576D"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Situational analysis</w:t>
            </w:r>
            <w:r w:rsidRPr="006B7678">
              <w:rPr>
                <w:rFonts w:ascii="Garamond" w:hAnsi="Garamond"/>
                <w:sz w:val="20"/>
                <w:szCs w:val="20"/>
              </w:rPr>
              <w:t xml:space="preserve"> – information on concessions, processes and products in SADC currently</w:t>
            </w:r>
          </w:p>
        </w:tc>
        <w:tc>
          <w:tcPr>
            <w:tcW w:w="2171" w:type="dxa"/>
          </w:tcPr>
          <w:p w14:paraId="1E2FBFCD" w14:textId="41B6773B" w:rsidR="006B7678" w:rsidRPr="006B7678" w:rsidRDefault="006B7678" w:rsidP="006B7678">
            <w:pPr>
              <w:spacing w:before="0" w:after="0" w:line="240" w:lineRule="auto"/>
              <w:rPr>
                <w:rFonts w:ascii="Garamond" w:hAnsi="Garamond"/>
                <w:sz w:val="20"/>
                <w:szCs w:val="20"/>
              </w:rPr>
            </w:pPr>
            <w:r>
              <w:rPr>
                <w:rFonts w:ascii="Garamond" w:hAnsi="Garamond"/>
                <w:sz w:val="20"/>
                <w:szCs w:val="20"/>
              </w:rPr>
              <w:t>In progress</w:t>
            </w:r>
          </w:p>
        </w:tc>
      </w:tr>
      <w:tr w:rsidR="006B7678" w14:paraId="58942DBD" w14:textId="77777777" w:rsidTr="003F6A72">
        <w:tc>
          <w:tcPr>
            <w:tcW w:w="6345" w:type="dxa"/>
          </w:tcPr>
          <w:p w14:paraId="6050725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Draft guideline development</w:t>
            </w:r>
            <w:r w:rsidRPr="006B7678">
              <w:rPr>
                <w:rFonts w:ascii="Garamond" w:hAnsi="Garamond"/>
                <w:sz w:val="20"/>
                <w:szCs w:val="20"/>
              </w:rPr>
              <w:t xml:space="preserve"> – populating the ToC (version 1)</w:t>
            </w:r>
          </w:p>
        </w:tc>
        <w:tc>
          <w:tcPr>
            <w:tcW w:w="2171" w:type="dxa"/>
          </w:tcPr>
          <w:p w14:paraId="093F3300" w14:textId="3AC93C65" w:rsidR="006B7678" w:rsidRPr="006B7678" w:rsidRDefault="006B7678" w:rsidP="006B7678">
            <w:pPr>
              <w:spacing w:before="0" w:after="0" w:line="240" w:lineRule="auto"/>
              <w:rPr>
                <w:rFonts w:ascii="Garamond" w:hAnsi="Garamond"/>
                <w:sz w:val="20"/>
                <w:szCs w:val="20"/>
              </w:rPr>
            </w:pPr>
            <w:r>
              <w:rPr>
                <w:rFonts w:ascii="Garamond" w:hAnsi="Garamond"/>
                <w:sz w:val="20"/>
                <w:szCs w:val="20"/>
              </w:rPr>
              <w:t>Completed</w:t>
            </w:r>
          </w:p>
        </w:tc>
      </w:tr>
      <w:tr w:rsidR="006B7678" w14:paraId="18A26D84" w14:textId="77777777" w:rsidTr="003F6A72">
        <w:tc>
          <w:tcPr>
            <w:tcW w:w="6345" w:type="dxa"/>
          </w:tcPr>
          <w:p w14:paraId="739ED52B" w14:textId="2F64C44A" w:rsidR="006B7678" w:rsidRDefault="006B7678" w:rsidP="006B7678">
            <w:pPr>
              <w:spacing w:before="0" w:after="0" w:line="240" w:lineRule="auto"/>
              <w:rPr>
                <w:rFonts w:ascii="Garamond" w:hAnsi="Garamond"/>
                <w:sz w:val="20"/>
                <w:szCs w:val="20"/>
              </w:rPr>
            </w:pPr>
            <w:r w:rsidRPr="006B7678">
              <w:rPr>
                <w:rFonts w:ascii="Garamond" w:hAnsi="Garamond"/>
                <w:b/>
                <w:sz w:val="20"/>
                <w:szCs w:val="20"/>
              </w:rPr>
              <w:t>Review period</w:t>
            </w:r>
            <w:r w:rsidRPr="006B7678">
              <w:rPr>
                <w:rFonts w:ascii="Garamond" w:hAnsi="Garamond"/>
                <w:sz w:val="20"/>
                <w:szCs w:val="20"/>
              </w:rPr>
              <w:t xml:space="preserve"> for draft prior to conference (English version</w:t>
            </w:r>
            <w:r>
              <w:rPr>
                <w:rFonts w:ascii="Garamond" w:hAnsi="Garamond"/>
                <w:sz w:val="20"/>
                <w:szCs w:val="20"/>
              </w:rPr>
              <w:t>)</w:t>
            </w:r>
          </w:p>
          <w:p w14:paraId="47AB81FA" w14:textId="47CB137D" w:rsidR="006B7678" w:rsidRPr="006B7678" w:rsidRDefault="006B7678" w:rsidP="006B7678">
            <w:pPr>
              <w:spacing w:before="0" w:after="0" w:line="240" w:lineRule="auto"/>
              <w:rPr>
                <w:rFonts w:ascii="Garamond" w:hAnsi="Garamond"/>
                <w:i/>
                <w:sz w:val="20"/>
                <w:szCs w:val="20"/>
              </w:rPr>
            </w:pPr>
            <w:r w:rsidRPr="006B7678">
              <w:rPr>
                <w:rFonts w:ascii="Garamond" w:hAnsi="Garamond"/>
                <w:i/>
                <w:sz w:val="20"/>
                <w:szCs w:val="20"/>
              </w:rPr>
              <w:t>Requested Portuguse and French Translation.</w:t>
            </w:r>
          </w:p>
        </w:tc>
        <w:tc>
          <w:tcPr>
            <w:tcW w:w="2171" w:type="dxa"/>
          </w:tcPr>
          <w:p w14:paraId="19A63741"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1-2 weeks: August</w:t>
            </w:r>
          </w:p>
        </w:tc>
      </w:tr>
      <w:tr w:rsidR="006B7678" w14:paraId="1F6A43E7" w14:textId="77777777" w:rsidTr="003F6A72">
        <w:tc>
          <w:tcPr>
            <w:tcW w:w="6345" w:type="dxa"/>
          </w:tcPr>
          <w:p w14:paraId="2A501D92"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 xml:space="preserve">Conference </w:t>
            </w:r>
            <w:r w:rsidRPr="006B7678">
              <w:rPr>
                <w:rFonts w:ascii="Garamond" w:hAnsi="Garamond"/>
                <w:sz w:val="20"/>
                <w:szCs w:val="20"/>
              </w:rPr>
              <w:t>on concessions: review and improve the content of the guideline + annexes (Johannesburg)</w:t>
            </w:r>
          </w:p>
        </w:tc>
        <w:tc>
          <w:tcPr>
            <w:tcW w:w="2171" w:type="dxa"/>
          </w:tcPr>
          <w:p w14:paraId="5E8B41DA"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1-3 September</w:t>
            </w:r>
          </w:p>
        </w:tc>
      </w:tr>
      <w:tr w:rsidR="006B7678" w14:paraId="29FF896E" w14:textId="77777777" w:rsidTr="003F6A72">
        <w:tc>
          <w:tcPr>
            <w:tcW w:w="6345" w:type="dxa"/>
          </w:tcPr>
          <w:p w14:paraId="4ABBCA7C"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 xml:space="preserve">Revision </w:t>
            </w:r>
            <w:r w:rsidRPr="006B7678">
              <w:rPr>
                <w:rFonts w:ascii="Garamond" w:hAnsi="Garamond"/>
                <w:sz w:val="20"/>
                <w:szCs w:val="20"/>
              </w:rPr>
              <w:t>of guideline (version 2)</w:t>
            </w:r>
          </w:p>
        </w:tc>
        <w:tc>
          <w:tcPr>
            <w:tcW w:w="2171" w:type="dxa"/>
          </w:tcPr>
          <w:p w14:paraId="2153E18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September</w:t>
            </w:r>
          </w:p>
        </w:tc>
      </w:tr>
      <w:tr w:rsidR="006B7678" w14:paraId="2427F0F1" w14:textId="77777777" w:rsidTr="003F6A72">
        <w:tc>
          <w:tcPr>
            <w:tcW w:w="6345" w:type="dxa"/>
          </w:tcPr>
          <w:p w14:paraId="4B47F9D5" w14:textId="77777777" w:rsidR="006B7678" w:rsidRPr="006B7678" w:rsidRDefault="006B7678" w:rsidP="006B7678">
            <w:pPr>
              <w:spacing w:before="0" w:after="0" w:line="240" w:lineRule="auto"/>
              <w:ind w:left="720"/>
              <w:rPr>
                <w:rFonts w:ascii="Garamond" w:hAnsi="Garamond"/>
                <w:b/>
                <w:sz w:val="20"/>
                <w:szCs w:val="20"/>
              </w:rPr>
            </w:pPr>
            <w:r w:rsidRPr="006B7678">
              <w:rPr>
                <w:rFonts w:ascii="Garamond" w:hAnsi="Garamond"/>
                <w:sz w:val="20"/>
                <w:szCs w:val="20"/>
              </w:rPr>
              <w:t>Translation (French, Portuguese)</w:t>
            </w:r>
          </w:p>
        </w:tc>
        <w:tc>
          <w:tcPr>
            <w:tcW w:w="2171" w:type="dxa"/>
          </w:tcPr>
          <w:p w14:paraId="2348350D"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September: 2 weeks</w:t>
            </w:r>
          </w:p>
        </w:tc>
      </w:tr>
      <w:tr w:rsidR="006B7678" w14:paraId="575E51F4" w14:textId="77777777" w:rsidTr="003F6A72">
        <w:tc>
          <w:tcPr>
            <w:tcW w:w="6345" w:type="dxa"/>
          </w:tcPr>
          <w:p w14:paraId="2B531063"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Review period</w:t>
            </w:r>
            <w:r w:rsidRPr="006B7678">
              <w:rPr>
                <w:rFonts w:ascii="Garamond" w:hAnsi="Garamond"/>
                <w:sz w:val="20"/>
                <w:szCs w:val="20"/>
              </w:rPr>
              <w:t xml:space="preserve"> (English, French, Portuguese)</w:t>
            </w:r>
          </w:p>
        </w:tc>
        <w:tc>
          <w:tcPr>
            <w:tcW w:w="2171" w:type="dxa"/>
          </w:tcPr>
          <w:p w14:paraId="2CA880B4"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(2 weeks)</w:t>
            </w:r>
          </w:p>
        </w:tc>
      </w:tr>
      <w:tr w:rsidR="006B7678" w14:paraId="619AA04E" w14:textId="77777777" w:rsidTr="003F6A72">
        <w:tc>
          <w:tcPr>
            <w:tcW w:w="6345" w:type="dxa"/>
          </w:tcPr>
          <w:p w14:paraId="587AF24E" w14:textId="77777777" w:rsidR="006B7678" w:rsidRPr="006B7678" w:rsidRDefault="006B7678" w:rsidP="006B7678">
            <w:pPr>
              <w:spacing w:before="0" w:after="0" w:line="240" w:lineRule="auto"/>
              <w:ind w:left="720"/>
              <w:rPr>
                <w:rFonts w:ascii="Garamond" w:hAnsi="Garamond"/>
                <w:sz w:val="20"/>
                <w:szCs w:val="20"/>
              </w:rPr>
            </w:pPr>
            <w:r w:rsidRPr="006B7678">
              <w:rPr>
                <w:rFonts w:ascii="Garamond" w:hAnsi="Garamond"/>
                <w:sz w:val="20"/>
                <w:szCs w:val="20"/>
              </w:rPr>
              <w:t>Revision of guideline (version 3)</w:t>
            </w:r>
          </w:p>
        </w:tc>
        <w:tc>
          <w:tcPr>
            <w:tcW w:w="2171" w:type="dxa"/>
          </w:tcPr>
          <w:p w14:paraId="7FAE6D0E"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w:t>
            </w:r>
          </w:p>
        </w:tc>
      </w:tr>
      <w:tr w:rsidR="006B7678" w14:paraId="5B35C045" w14:textId="77777777" w:rsidTr="003F6A72">
        <w:tc>
          <w:tcPr>
            <w:tcW w:w="6345" w:type="dxa"/>
          </w:tcPr>
          <w:p w14:paraId="0404B1AC"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Validation meeting</w:t>
            </w:r>
            <w:r w:rsidRPr="006B7678">
              <w:rPr>
                <w:rFonts w:ascii="Garamond" w:hAnsi="Garamond"/>
                <w:sz w:val="20"/>
                <w:szCs w:val="20"/>
              </w:rPr>
              <w:t xml:space="preserve"> with SADC/GiZ (Gaborone)</w:t>
            </w:r>
          </w:p>
        </w:tc>
        <w:tc>
          <w:tcPr>
            <w:tcW w:w="2171" w:type="dxa"/>
          </w:tcPr>
          <w:p w14:paraId="4320C51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or Nov</w:t>
            </w:r>
          </w:p>
        </w:tc>
      </w:tr>
      <w:tr w:rsidR="006B7678" w14:paraId="622EAF4F" w14:textId="77777777" w:rsidTr="003F6A72">
        <w:tc>
          <w:tcPr>
            <w:tcW w:w="6345" w:type="dxa"/>
          </w:tcPr>
          <w:p w14:paraId="381E0AC2" w14:textId="77777777" w:rsidR="006B7678" w:rsidRPr="006B7678" w:rsidRDefault="006B7678" w:rsidP="006B7678">
            <w:pPr>
              <w:spacing w:before="0" w:after="0" w:line="240" w:lineRule="auto"/>
              <w:ind w:left="720"/>
              <w:rPr>
                <w:rFonts w:ascii="Garamond" w:hAnsi="Garamond"/>
                <w:sz w:val="20"/>
                <w:szCs w:val="20"/>
              </w:rPr>
            </w:pPr>
            <w:r w:rsidRPr="006B7678">
              <w:rPr>
                <w:rFonts w:ascii="Garamond" w:hAnsi="Garamond"/>
                <w:sz w:val="20"/>
                <w:szCs w:val="20"/>
              </w:rPr>
              <w:t>Finalisation of guideline (version 4)</w:t>
            </w:r>
          </w:p>
        </w:tc>
        <w:tc>
          <w:tcPr>
            <w:tcW w:w="2171" w:type="dxa"/>
          </w:tcPr>
          <w:p w14:paraId="738F7955"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or Nov</w:t>
            </w:r>
          </w:p>
        </w:tc>
      </w:tr>
    </w:tbl>
    <w:p w14:paraId="23D8B921" w14:textId="77777777" w:rsidR="00F50142" w:rsidRPr="006311F5" w:rsidRDefault="00F50142" w:rsidP="003D156D">
      <w:pPr>
        <w:spacing w:before="0" w:after="0" w:line="240" w:lineRule="auto"/>
        <w:rPr>
          <w:rFonts w:ascii="Garamond" w:hAnsi="Garamond"/>
        </w:rPr>
      </w:pPr>
    </w:p>
    <w:sectPr w:rsidR="00F50142" w:rsidRPr="006311F5" w:rsidSect="00253625">
      <w:pgSz w:w="11906" w:h="16838" w:code="122"/>
      <w:pgMar w:top="1440" w:right="1440" w:bottom="1440" w:left="1440" w:header="709" w:footer="0"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EBF36" w14:textId="77777777" w:rsidR="00E85059" w:rsidRDefault="00E85059" w:rsidP="00B83BF7">
      <w:pPr>
        <w:spacing w:before="0" w:after="0" w:line="240" w:lineRule="auto"/>
      </w:pPr>
      <w:r>
        <w:separator/>
      </w:r>
    </w:p>
  </w:endnote>
  <w:endnote w:type="continuationSeparator" w:id="0">
    <w:p w14:paraId="65DC744E" w14:textId="77777777" w:rsidR="00E85059" w:rsidRDefault="00E85059" w:rsidP="00B83B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Serifa 45 Light">
    <w:altName w:val="Calibri"/>
    <w:panose1 w:val="00000000000000000000"/>
    <w:charset w:val="00"/>
    <w:family w:val="roman"/>
    <w:notTrueType/>
    <w:pitch w:val="default"/>
    <w:sig w:usb0="00000003" w:usb1="00000000" w:usb2="00000000" w:usb3="00000000" w:csb0="00000001" w:csb1="00000000"/>
  </w:font>
  <w:font w:name="Serifa 55 Roman">
    <w:altName w:val="Calibri"/>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venir Light">
    <w:panose1 w:val="020B0402020203020204"/>
    <w:charset w:val="00"/>
    <w:family w:val="auto"/>
    <w:pitch w:val="variable"/>
    <w:sig w:usb0="800000AF" w:usb1="5000204A" w:usb2="00000000" w:usb3="00000000" w:csb0="0000009B" w:csb1="00000000"/>
  </w:font>
  <w:font w:name="Helvetica Light">
    <w:panose1 w:val="020B0403020202020204"/>
    <w:charset w:val="00"/>
    <w:family w:val="auto"/>
    <w:pitch w:val="variable"/>
    <w:sig w:usb0="800000AF" w:usb1="4000204A" w:usb2="00000000" w:usb3="00000000" w:csb0="00000001" w:csb1="00000000"/>
  </w:font>
  <w:font w:name="Wingdings 2">
    <w:panose1 w:val="050201020105070707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 w:name="CenturyGothic">
    <w:altName w:val="Century Gothic"/>
    <w:panose1 w:val="00000000000000000000"/>
    <w:charset w:val="00"/>
    <w:family w:val="auto"/>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BB983" w14:textId="77777777" w:rsidR="00E85059" w:rsidRDefault="00E85059" w:rsidP="00B83BF7">
      <w:pPr>
        <w:spacing w:before="0" w:after="0" w:line="240" w:lineRule="auto"/>
      </w:pPr>
      <w:r>
        <w:separator/>
      </w:r>
    </w:p>
  </w:footnote>
  <w:footnote w:type="continuationSeparator" w:id="0">
    <w:p w14:paraId="202DB3A4" w14:textId="77777777" w:rsidR="00E85059" w:rsidRDefault="00E85059" w:rsidP="00B83BF7">
      <w:pPr>
        <w:spacing w:before="0" w:after="0" w:line="240" w:lineRule="auto"/>
      </w:pPr>
      <w:r>
        <w:continuationSeparator/>
      </w:r>
    </w:p>
  </w:footnote>
  <w:footnote w:id="1">
    <w:p w14:paraId="0A06E76F" w14:textId="612ED2D3" w:rsidR="00E85059" w:rsidRPr="0091087A" w:rsidRDefault="00E85059" w:rsidP="005E18C7">
      <w:pPr>
        <w:autoSpaceDE w:val="0"/>
        <w:autoSpaceDN w:val="0"/>
        <w:adjustRightInd w:val="0"/>
        <w:spacing w:before="0" w:after="0" w:line="240" w:lineRule="auto"/>
        <w:rPr>
          <w:rFonts w:ascii="Garamond" w:hAnsi="Garamond"/>
          <w:sz w:val="16"/>
          <w:szCs w:val="16"/>
        </w:rPr>
      </w:pPr>
      <w:r w:rsidRPr="0091087A">
        <w:rPr>
          <w:rStyle w:val="FootnoteReference"/>
          <w:rFonts w:ascii="Garamond" w:hAnsi="Garamond"/>
          <w:sz w:val="16"/>
          <w:szCs w:val="16"/>
        </w:rPr>
        <w:footnoteRef/>
      </w:r>
      <w:r w:rsidRPr="0091087A">
        <w:rPr>
          <w:rFonts w:ascii="Garamond" w:hAnsi="Garamond"/>
          <w:sz w:val="16"/>
          <w:szCs w:val="16"/>
        </w:rPr>
        <w:t xml:space="preserve"> Adapted from Eagles, P. F. J., Baycetich, C. M., Chen, X., Dong, L, Halpenny, E., Kwan, P. B., Lenuzzi, J. J., Wang, X., Xiao, Hl, and Zhang, Y. (2009) Guidelines for planning and management of concessions, licenses and permits for tourism in protected areas, Tourism planning and management program, University of Waterloo, Ontario, Canada, 23 April 2009: pp12, Buckley, R. (2010). Conservation Tourism. CAB International.</w:t>
      </w:r>
      <w:r w:rsidRPr="0091087A">
        <w:rPr>
          <w:rFonts w:ascii="Garamond" w:hAnsi="Garamond"/>
          <w:sz w:val="16"/>
          <w:szCs w:val="16"/>
          <w:u w:val="single"/>
        </w:rPr>
        <w:t xml:space="preserve"> </w:t>
      </w:r>
      <w:r w:rsidRPr="0091087A">
        <w:rPr>
          <w:rFonts w:ascii="Garamond" w:hAnsi="Garamond"/>
          <w:sz w:val="16"/>
          <w:szCs w:val="16"/>
        </w:rPr>
        <w:t xml:space="preserve">page xvi.; </w:t>
      </w:r>
    </w:p>
  </w:footnote>
  <w:footnote w:id="2">
    <w:p w14:paraId="402C4C65" w14:textId="77777777" w:rsidR="00E85059" w:rsidRPr="0091087A" w:rsidRDefault="00E85059" w:rsidP="0032109E">
      <w:pPr>
        <w:autoSpaceDE w:val="0"/>
        <w:autoSpaceDN w:val="0"/>
        <w:adjustRightInd w:val="0"/>
        <w:spacing w:before="0" w:after="0" w:line="240" w:lineRule="auto"/>
        <w:rPr>
          <w:rFonts w:ascii="Garamond" w:hAnsi="Garamond"/>
          <w:bCs/>
          <w:sz w:val="16"/>
          <w:szCs w:val="16"/>
        </w:rPr>
      </w:pPr>
      <w:r w:rsidRPr="0091087A">
        <w:rPr>
          <w:rStyle w:val="FootnoteReference"/>
          <w:rFonts w:ascii="Garamond" w:hAnsi="Garamond"/>
          <w:sz w:val="16"/>
          <w:szCs w:val="16"/>
        </w:rPr>
        <w:footnoteRef/>
      </w:r>
      <w:r w:rsidRPr="0091087A">
        <w:rPr>
          <w:rFonts w:ascii="Garamond" w:hAnsi="Garamond"/>
          <w:sz w:val="16"/>
          <w:szCs w:val="16"/>
        </w:rPr>
        <w:t xml:space="preserve"> Pocket Oxford English Dictionary, 2006</w:t>
      </w:r>
    </w:p>
  </w:footnote>
  <w:footnote w:id="3">
    <w:p w14:paraId="59972CAE" w14:textId="3B9BD6E7" w:rsidR="00E85059" w:rsidRPr="00147494" w:rsidRDefault="00E85059" w:rsidP="0032109E">
      <w:pPr>
        <w:autoSpaceDE w:val="0"/>
        <w:autoSpaceDN w:val="0"/>
        <w:adjustRightInd w:val="0"/>
        <w:spacing w:before="0" w:after="0" w:line="240" w:lineRule="auto"/>
        <w:rPr>
          <w:rFonts w:ascii="Garamond" w:hAnsi="Garamond"/>
          <w:sz w:val="20"/>
          <w:szCs w:val="20"/>
        </w:rPr>
      </w:pPr>
      <w:r w:rsidRPr="0091087A">
        <w:rPr>
          <w:rStyle w:val="FootnoteReference"/>
          <w:rFonts w:ascii="Garamond" w:hAnsi="Garamond"/>
          <w:sz w:val="16"/>
          <w:szCs w:val="16"/>
        </w:rPr>
        <w:footnoteRef/>
      </w:r>
      <w:r w:rsidRPr="0091087A">
        <w:rPr>
          <w:rFonts w:ascii="Garamond" w:hAnsi="Garamond"/>
          <w:sz w:val="16"/>
          <w:szCs w:val="16"/>
        </w:rPr>
        <w:t xml:space="preserve"> Eagles et al, (2009) op. cit.</w:t>
      </w:r>
      <w:r>
        <w:rPr>
          <w:rFonts w:ascii="Garamond" w:hAnsi="Garamond"/>
          <w:sz w:val="16"/>
          <w:szCs w:val="16"/>
        </w:rPr>
        <w:t xml:space="preserve"> </w:t>
      </w:r>
    </w:p>
  </w:footnote>
  <w:footnote w:id="4">
    <w:p w14:paraId="7839D850" w14:textId="1BA7302D" w:rsidR="00E85059" w:rsidRPr="00FC383E" w:rsidRDefault="00E85059">
      <w:pPr>
        <w:pStyle w:val="FootnoteText"/>
        <w:rPr>
          <w:rFonts w:ascii="Garamond" w:hAnsi="Garamond"/>
          <w:sz w:val="16"/>
          <w:szCs w:val="16"/>
          <w:lang w:val="en-US"/>
        </w:rPr>
      </w:pPr>
      <w:r w:rsidRPr="00FC383E">
        <w:rPr>
          <w:rStyle w:val="FootnoteReference"/>
          <w:rFonts w:ascii="Garamond" w:hAnsi="Garamond"/>
          <w:sz w:val="16"/>
          <w:szCs w:val="16"/>
        </w:rPr>
        <w:footnoteRef/>
      </w:r>
      <w:r w:rsidRPr="00FC383E">
        <w:rPr>
          <w:rFonts w:ascii="Garamond" w:hAnsi="Garamond"/>
          <w:sz w:val="16"/>
          <w:szCs w:val="16"/>
        </w:rPr>
        <w:t xml:space="preserve"> Adapted from National Treasury (2005) PPP Toolkit for tourism, PPP Practice Note 1 of 2005, </w:t>
      </w:r>
      <w:r w:rsidRPr="00FC383E">
        <w:rPr>
          <w:rFonts w:ascii="Garamond" w:hAnsi="Garamond"/>
          <w:sz w:val="16"/>
          <w:szCs w:val="16"/>
          <w:lang w:val="en-US"/>
        </w:rPr>
        <w:t xml:space="preserve">pp 3, accessible from </w:t>
      </w:r>
      <w:r w:rsidRPr="00FE2B99">
        <w:rPr>
          <w:rFonts w:ascii="Garamond" w:hAnsi="Garamond"/>
          <w:sz w:val="16"/>
          <w:szCs w:val="16"/>
          <w:lang w:val="en-US"/>
        </w:rPr>
        <w:t>http://www.ppp.gov.za/Pages/Governance.aspx?RootFolder=%2fLegal%20Aspects%2fPPP%20Toolkit%20for%20Tourism&amp;FolderCTID=&amp;View=%7b33F91A9E%2d68FB%2d40CC%2dB511%2d45D91A7CC95B%7d</w:t>
      </w:r>
    </w:p>
  </w:footnote>
  <w:footnote w:id="5">
    <w:p w14:paraId="4D45FF84" w14:textId="77777777" w:rsidR="00E85059" w:rsidRPr="000507AF" w:rsidRDefault="00E85059" w:rsidP="00787487">
      <w:pPr>
        <w:spacing w:before="0" w:after="0" w:line="240" w:lineRule="auto"/>
        <w:ind w:left="567" w:hanging="567"/>
        <w:rPr>
          <w:rFonts w:ascii="Garamond" w:hAnsi="Garamond"/>
          <w:sz w:val="20"/>
          <w:szCs w:val="20"/>
        </w:rPr>
      </w:pPr>
      <w:r w:rsidRPr="000507AF">
        <w:rPr>
          <w:rStyle w:val="FootnoteReference"/>
          <w:rFonts w:ascii="Garamond" w:hAnsi="Garamond"/>
          <w:sz w:val="20"/>
          <w:szCs w:val="20"/>
        </w:rPr>
        <w:footnoteRef/>
      </w:r>
      <w:r w:rsidRPr="000507AF">
        <w:rPr>
          <w:rFonts w:ascii="Garamond" w:hAnsi="Garamond"/>
          <w:sz w:val="20"/>
          <w:szCs w:val="20"/>
        </w:rPr>
        <w:t xml:space="preserve"> </w:t>
      </w:r>
      <w:r w:rsidRPr="00560584">
        <w:rPr>
          <w:rFonts w:ascii="Garamond" w:hAnsi="Garamond"/>
          <w:sz w:val="16"/>
          <w:szCs w:val="16"/>
        </w:rPr>
        <w:t>UNEP and UNWTO (2005) Making Tourism More Sustainable, A Guide for Policy Makers, Madrid, Spain</w:t>
      </w:r>
    </w:p>
  </w:footnote>
  <w:footnote w:id="6">
    <w:p w14:paraId="56A22911" w14:textId="460FDFAE" w:rsidR="00E85059" w:rsidRPr="000507AF" w:rsidRDefault="00E85059" w:rsidP="00834C9F">
      <w:pPr>
        <w:spacing w:before="0" w:after="0" w:line="240" w:lineRule="auto"/>
        <w:rPr>
          <w:rFonts w:ascii="Garamond" w:hAnsi="Garamond"/>
          <w:sz w:val="20"/>
          <w:szCs w:val="20"/>
        </w:rPr>
      </w:pPr>
      <w:r w:rsidRPr="000507AF">
        <w:rPr>
          <w:rStyle w:val="FootnoteReference"/>
          <w:rFonts w:ascii="Garamond" w:hAnsi="Garamond"/>
          <w:sz w:val="20"/>
          <w:szCs w:val="20"/>
        </w:rPr>
        <w:footnoteRef/>
      </w:r>
      <w:r w:rsidRPr="000507AF">
        <w:rPr>
          <w:rFonts w:ascii="Garamond" w:hAnsi="Garamond"/>
          <w:sz w:val="20"/>
          <w:szCs w:val="20"/>
        </w:rPr>
        <w:t xml:space="preserve"> </w:t>
      </w:r>
      <w:r>
        <w:rPr>
          <w:rFonts w:ascii="Garamond" w:hAnsi="Garamond"/>
          <w:sz w:val="16"/>
          <w:szCs w:val="16"/>
        </w:rPr>
        <w:t>Zunkel, K. (In prep) Southern African Development Community Transfrontier Conservation Guidelines: The establishment and development of TFCA initiatives between SADC Member States</w:t>
      </w:r>
    </w:p>
  </w:footnote>
  <w:footnote w:id="7">
    <w:p w14:paraId="6283EED6" w14:textId="6CB386B1" w:rsidR="00E85059" w:rsidRPr="00A15232" w:rsidRDefault="00E85059" w:rsidP="00D519D0">
      <w:pPr>
        <w:tabs>
          <w:tab w:val="left" w:pos="885"/>
        </w:tabs>
        <w:autoSpaceDE w:val="0"/>
        <w:autoSpaceDN w:val="0"/>
        <w:adjustRightInd w:val="0"/>
        <w:spacing w:before="0" w:after="0" w:line="240" w:lineRule="auto"/>
        <w:rPr>
          <w:rFonts w:ascii="Garamond" w:hAnsi="Garamond"/>
          <w:sz w:val="16"/>
          <w:szCs w:val="16"/>
        </w:rPr>
      </w:pPr>
      <w:r w:rsidRPr="00D519D0">
        <w:rPr>
          <w:rStyle w:val="FootnoteReference"/>
          <w:rFonts w:ascii="Garamond" w:hAnsi="Garamond"/>
          <w:sz w:val="16"/>
          <w:szCs w:val="16"/>
        </w:rPr>
        <w:footnoteRef/>
      </w:r>
      <w:r w:rsidRPr="00D519D0">
        <w:rPr>
          <w:rFonts w:ascii="Garamond" w:hAnsi="Garamond"/>
          <w:sz w:val="16"/>
          <w:szCs w:val="16"/>
        </w:rPr>
        <w:t xml:space="preserve"> Southern African Development Community (SADC) (1998). Protocol on tourism, accessed from </w:t>
      </w:r>
      <w:r w:rsidRPr="00A15232">
        <w:rPr>
          <w:rFonts w:ascii="Garamond" w:hAnsi="Garamond"/>
          <w:sz w:val="16"/>
          <w:szCs w:val="16"/>
        </w:rPr>
        <w:t>http://www.sadc.int/files/2413/5292/8368/Protocol_on_the_Development_of_Tourism1998.pdf on 5 December 2013</w:t>
      </w:r>
    </w:p>
  </w:footnote>
  <w:footnote w:id="8">
    <w:p w14:paraId="4D23242A" w14:textId="3DA74323" w:rsidR="00E85059" w:rsidRPr="00A15232" w:rsidRDefault="00E85059">
      <w:pPr>
        <w:pStyle w:val="FootnoteText"/>
        <w:rPr>
          <w:lang w:val="en-US"/>
        </w:rPr>
      </w:pPr>
      <w:r w:rsidRPr="00A15232">
        <w:rPr>
          <w:rStyle w:val="FootnoteReference"/>
          <w:rFonts w:ascii="Garamond" w:hAnsi="Garamond"/>
          <w:sz w:val="16"/>
          <w:szCs w:val="16"/>
        </w:rPr>
        <w:footnoteRef/>
      </w:r>
      <w:r w:rsidRPr="00A15232">
        <w:rPr>
          <w:rFonts w:ascii="Garamond" w:hAnsi="Garamond"/>
          <w:sz w:val="16"/>
          <w:szCs w:val="16"/>
        </w:rPr>
        <w:t xml:space="preserve"> SADC (1999) Protocol on Wildlife Conservation and Law Enforcement, accessed from  </w:t>
      </w:r>
      <w:hyperlink r:id="rId1" w:history="1">
        <w:r w:rsidRPr="00A15232">
          <w:rPr>
            <w:rStyle w:val="Hyperlink"/>
            <w:rFonts w:ascii="Garamond" w:hAnsi="Garamond"/>
            <w:sz w:val="16"/>
            <w:szCs w:val="16"/>
          </w:rPr>
          <w:t>http://www.sadc.int/documents-publications/show/Protocol%20on%20Wildlife%20Conservation%20and%20Law%20Enforcement%20(1999</w:t>
        </w:r>
      </w:hyperlink>
      <w:r w:rsidRPr="00A15232">
        <w:rPr>
          <w:rFonts w:ascii="Garamond" w:hAnsi="Garamond"/>
          <w:sz w:val="16"/>
          <w:szCs w:val="16"/>
        </w:rPr>
        <w:t>)  on 30 July 2014</w:t>
      </w:r>
    </w:p>
  </w:footnote>
  <w:footnote w:id="9">
    <w:p w14:paraId="38E73E3F" w14:textId="0328F719" w:rsidR="00E85059" w:rsidRPr="00DB373E" w:rsidRDefault="00E85059" w:rsidP="00A94B5D">
      <w:pPr>
        <w:pStyle w:val="FootnoteText"/>
        <w:rPr>
          <w:rFonts w:ascii="Garamond" w:hAnsi="Garamond"/>
          <w:sz w:val="16"/>
          <w:szCs w:val="16"/>
          <w:lang w:val="en-US"/>
        </w:rPr>
      </w:pPr>
      <w:r w:rsidRPr="00DB373E">
        <w:rPr>
          <w:rStyle w:val="FootnoteReference"/>
          <w:rFonts w:ascii="Garamond" w:hAnsi="Garamond"/>
          <w:sz w:val="16"/>
          <w:szCs w:val="16"/>
        </w:rPr>
        <w:footnoteRef/>
      </w:r>
      <w:r w:rsidRPr="00DB373E">
        <w:rPr>
          <w:rFonts w:ascii="Garamond" w:hAnsi="Garamond"/>
          <w:sz w:val="16"/>
          <w:szCs w:val="16"/>
        </w:rPr>
        <w:t xml:space="preserve"> </w:t>
      </w:r>
      <w:r w:rsidRPr="00DB373E">
        <w:rPr>
          <w:rFonts w:ascii="Garamond" w:hAnsi="Garamond"/>
          <w:sz w:val="16"/>
          <w:szCs w:val="16"/>
          <w:lang w:val="en-US"/>
        </w:rPr>
        <w:t>Adapted from Spenceley</w:t>
      </w:r>
      <w:r w:rsidR="000128F9">
        <w:rPr>
          <w:rFonts w:ascii="Garamond" w:hAnsi="Garamond"/>
          <w:sz w:val="16"/>
          <w:szCs w:val="16"/>
          <w:lang w:val="en-US"/>
        </w:rPr>
        <w:t>, A. Neville, H., and Souto, M.</w:t>
      </w:r>
      <w:r w:rsidRPr="00DB373E">
        <w:rPr>
          <w:rFonts w:ascii="Garamond" w:hAnsi="Garamond"/>
          <w:sz w:val="16"/>
          <w:szCs w:val="16"/>
          <w:lang w:val="en-US"/>
        </w:rPr>
        <w:t xml:space="preserve"> (In prep) Protected are tourism concessions: A toolkit, Report to the International Finance Corporation </w:t>
      </w:r>
      <w:r w:rsidRPr="00DB373E">
        <w:rPr>
          <w:rFonts w:ascii="Garamond" w:hAnsi="Garamond"/>
          <w:sz w:val="16"/>
          <w:szCs w:val="16"/>
          <w:highlight w:val="yellow"/>
          <w:lang w:val="en-US"/>
        </w:rPr>
        <w:t>(citation will change)</w:t>
      </w:r>
    </w:p>
  </w:footnote>
  <w:footnote w:id="10">
    <w:p w14:paraId="462F8CB6" w14:textId="77777777" w:rsidR="00E85059" w:rsidRPr="00DB373E" w:rsidRDefault="00E85059" w:rsidP="00845749">
      <w:pPr>
        <w:pStyle w:val="FootnoteText"/>
        <w:rPr>
          <w:rFonts w:ascii="Garamond" w:hAnsi="Garamond"/>
          <w:sz w:val="16"/>
          <w:szCs w:val="16"/>
          <w:lang w:val="en-US"/>
        </w:rPr>
      </w:pPr>
      <w:r w:rsidRPr="00DB373E">
        <w:rPr>
          <w:rStyle w:val="FootnoteReference"/>
          <w:rFonts w:ascii="Garamond" w:hAnsi="Garamond"/>
          <w:sz w:val="16"/>
          <w:szCs w:val="16"/>
        </w:rPr>
        <w:footnoteRef/>
      </w:r>
      <w:r w:rsidRPr="00DB373E">
        <w:rPr>
          <w:rFonts w:ascii="Garamond" w:hAnsi="Garamond"/>
          <w:sz w:val="16"/>
          <w:szCs w:val="16"/>
        </w:rPr>
        <w:t xml:space="preserve"> </w:t>
      </w:r>
      <w:r w:rsidRPr="00DB373E">
        <w:rPr>
          <w:rFonts w:ascii="Garamond" w:hAnsi="Garamond"/>
          <w:sz w:val="16"/>
          <w:szCs w:val="16"/>
          <w:lang w:val="en-US"/>
        </w:rPr>
        <w:t xml:space="preserve">Whyte, R., Perrottet, J., Di Fiori, V., and Neville, H. (2013) </w:t>
      </w:r>
      <w:r w:rsidRPr="00DB373E">
        <w:rPr>
          <w:rFonts w:ascii="Garamond" w:hAnsi="Garamond"/>
          <w:sz w:val="16"/>
          <w:szCs w:val="16"/>
        </w:rPr>
        <w:t xml:space="preserve">Global Investment Promotion Best Practices: Winning tourism investment, World Bank, Available from </w:t>
      </w:r>
      <w:hyperlink r:id="rId2" w:history="1">
        <w:r w:rsidRPr="00DB373E">
          <w:rPr>
            <w:rStyle w:val="Hyperlink"/>
            <w:rFonts w:ascii="Garamond" w:hAnsi="Garamond"/>
            <w:sz w:val="16"/>
            <w:szCs w:val="16"/>
          </w:rPr>
          <w:t>https://www.wbginvestmentclimate.org/advisory-services/investment-generation/investment-policy-and-promotion/gipb/upload/Tourism-GIPB-report.pdf</w:t>
        </w:r>
      </w:hyperlink>
      <w:r w:rsidRPr="00DB373E">
        <w:rPr>
          <w:rFonts w:ascii="Garamond" w:hAnsi="Garamond"/>
          <w:sz w:val="16"/>
          <w:szCs w:val="16"/>
        </w:rPr>
        <w:t>, pp7</w:t>
      </w:r>
    </w:p>
  </w:footnote>
  <w:footnote w:id="11">
    <w:p w14:paraId="29B5FA4A" w14:textId="77777777" w:rsidR="00E85059" w:rsidRPr="004C4D9A" w:rsidRDefault="00E85059" w:rsidP="00B25085">
      <w:pPr>
        <w:pStyle w:val="FootnoteText"/>
        <w:rPr>
          <w:sz w:val="16"/>
          <w:szCs w:val="16"/>
          <w:lang w:val="en-US"/>
        </w:rPr>
      </w:pPr>
      <w:r w:rsidRPr="004C4D9A">
        <w:rPr>
          <w:rStyle w:val="FootnoteReference"/>
          <w:sz w:val="16"/>
          <w:szCs w:val="16"/>
        </w:rPr>
        <w:footnoteRef/>
      </w:r>
      <w:r w:rsidRPr="004C4D9A">
        <w:rPr>
          <w:sz w:val="16"/>
          <w:szCs w:val="16"/>
        </w:rPr>
        <w:t xml:space="preserve"> </w:t>
      </w:r>
      <w:r w:rsidRPr="004C4D9A">
        <w:rPr>
          <w:rFonts w:ascii="Garamond" w:hAnsi="Garamond"/>
          <w:sz w:val="16"/>
          <w:szCs w:val="16"/>
        </w:rPr>
        <w:t>Ministry of Environment and Tourism (2007) Policy on tourism and wildlife concessions on state land, Republic of Namibia, accessible from</w:t>
      </w:r>
      <w:r w:rsidRPr="004C4D9A">
        <w:rPr>
          <w:sz w:val="16"/>
          <w:szCs w:val="16"/>
        </w:rPr>
        <w:t xml:space="preserve"> </w:t>
      </w:r>
      <w:r w:rsidRPr="004C4D9A">
        <w:rPr>
          <w:rFonts w:ascii="Garamond" w:hAnsi="Garamond"/>
          <w:sz w:val="16"/>
          <w:szCs w:val="16"/>
        </w:rPr>
        <w:t>http://www.areasprotegidas.net/sites/default/files/documentos/Namibia%20Tourism%20%26%20Wildlife%20Concessions%20Policy%20(2007).pdf</w:t>
      </w:r>
    </w:p>
  </w:footnote>
  <w:footnote w:id="12">
    <w:p w14:paraId="454FA8CC" w14:textId="77777777" w:rsidR="00E85059" w:rsidRPr="00346B44" w:rsidRDefault="00E85059" w:rsidP="00B25085">
      <w:pPr>
        <w:pStyle w:val="FootnoteText"/>
        <w:rPr>
          <w:rFonts w:ascii="Garamond" w:hAnsi="Garamond"/>
          <w:sz w:val="16"/>
          <w:szCs w:val="16"/>
          <w:lang w:val="en-US"/>
        </w:rPr>
      </w:pPr>
      <w:r w:rsidRPr="00346B44">
        <w:rPr>
          <w:rStyle w:val="FootnoteReference"/>
          <w:rFonts w:ascii="Garamond" w:hAnsi="Garamond"/>
          <w:sz w:val="16"/>
          <w:szCs w:val="16"/>
        </w:rPr>
        <w:footnoteRef/>
      </w:r>
      <w:r w:rsidRPr="00346B44">
        <w:rPr>
          <w:rFonts w:ascii="Garamond" w:hAnsi="Garamond"/>
          <w:sz w:val="16"/>
          <w:szCs w:val="16"/>
        </w:rPr>
        <w:t xml:space="preserve"> Ministry of Environment and Tourism (Undated) Tourism and Wildlife concessions in Namibia’s protected areas, accessible from http://www.met.gov.na/Documents/Concession%20Policy%20flyer.pdf</w:t>
      </w:r>
    </w:p>
  </w:footnote>
  <w:footnote w:id="13">
    <w:p w14:paraId="1C0B71A1" w14:textId="77777777" w:rsidR="00E85059" w:rsidRPr="00346B44" w:rsidRDefault="00E85059" w:rsidP="00B25085">
      <w:pPr>
        <w:spacing w:before="0" w:after="0" w:line="240" w:lineRule="auto"/>
        <w:rPr>
          <w:rFonts w:ascii="Garamond" w:hAnsi="Garamond"/>
          <w:sz w:val="16"/>
          <w:szCs w:val="16"/>
        </w:rPr>
      </w:pPr>
      <w:r w:rsidRPr="00346B44">
        <w:rPr>
          <w:rStyle w:val="FootnoteReference"/>
          <w:rFonts w:ascii="Garamond" w:hAnsi="Garamond"/>
          <w:sz w:val="16"/>
          <w:szCs w:val="16"/>
        </w:rPr>
        <w:footnoteRef/>
      </w:r>
      <w:r w:rsidRPr="00346B44">
        <w:rPr>
          <w:rFonts w:ascii="Garamond" w:hAnsi="Garamond"/>
          <w:sz w:val="16"/>
          <w:szCs w:val="16"/>
        </w:rPr>
        <w:t xml:space="preserve"> National Treasury (2004) Public Private Partnership Manual: National Treasury PPP Practice notes issued in terms of the Public Finance Management Act, National Treasury PPP unit ; Davies, R. (2010) CIA Post completion monitoring, South African National Park (Project ID9907), IFC internal report</w:t>
      </w:r>
    </w:p>
  </w:footnote>
  <w:footnote w:id="14">
    <w:p w14:paraId="673C9B91" w14:textId="1B28F56D" w:rsidR="00E85059" w:rsidRPr="004C4D9A" w:rsidRDefault="00E85059" w:rsidP="00171353">
      <w:pPr>
        <w:spacing w:before="0" w:after="0" w:line="240" w:lineRule="auto"/>
        <w:rPr>
          <w:rFonts w:ascii="Garamond" w:hAnsi="Garamond"/>
          <w:sz w:val="16"/>
          <w:szCs w:val="16"/>
        </w:rPr>
      </w:pPr>
      <w:r w:rsidRPr="004C4D9A">
        <w:rPr>
          <w:rStyle w:val="FootnoteReference"/>
          <w:rFonts w:ascii="Garamond" w:hAnsi="Garamond"/>
          <w:sz w:val="16"/>
          <w:szCs w:val="16"/>
        </w:rPr>
        <w:footnoteRef/>
      </w:r>
      <w:r w:rsidRPr="004C4D9A">
        <w:rPr>
          <w:rFonts w:ascii="Garamond" w:hAnsi="Garamond"/>
          <w:sz w:val="16"/>
          <w:szCs w:val="16"/>
        </w:rPr>
        <w:t xml:space="preserve"> </w:t>
      </w:r>
      <w:r>
        <w:rPr>
          <w:rFonts w:ascii="Garamond" w:hAnsi="Garamond"/>
          <w:sz w:val="16"/>
          <w:szCs w:val="16"/>
        </w:rPr>
        <w:t xml:space="preserve">Adapted from </w:t>
      </w:r>
      <w:r w:rsidRPr="004C4D9A">
        <w:rPr>
          <w:rFonts w:ascii="Garamond" w:hAnsi="Garamond"/>
          <w:sz w:val="16"/>
          <w:szCs w:val="16"/>
        </w:rPr>
        <w:t>Fearnhead, P. (2003) Commercial tourism concessions: a means of generating income for South African National Parks, Vth World Parks Congress, September 2003, Durban, South Africa, Accessible from http://conservationfinance.org/guide/WPC/WPC_documents/Apps_06_Fearnhead_v1.pdf</w:t>
      </w:r>
    </w:p>
  </w:footnote>
  <w:footnote w:id="15">
    <w:p w14:paraId="16FDB8D3" w14:textId="77777777" w:rsidR="00E85059" w:rsidRPr="00346B44" w:rsidRDefault="00E85059" w:rsidP="008161EF">
      <w:pPr>
        <w:pStyle w:val="FootnoteText"/>
        <w:rPr>
          <w:rFonts w:ascii="Garamond" w:hAnsi="Garamond" w:cs="Apple Symbols"/>
          <w:sz w:val="16"/>
          <w:szCs w:val="16"/>
          <w:lang w:val="en-US"/>
        </w:rPr>
      </w:pPr>
      <w:r w:rsidRPr="00346B44">
        <w:rPr>
          <w:rStyle w:val="FootnoteReference"/>
          <w:rFonts w:ascii="Garamond" w:hAnsi="Garamond" w:cs="Apple Symbols"/>
          <w:sz w:val="16"/>
          <w:szCs w:val="16"/>
        </w:rPr>
        <w:footnoteRef/>
      </w:r>
      <w:r w:rsidRPr="00346B44">
        <w:rPr>
          <w:rFonts w:ascii="Garamond" w:hAnsi="Garamond" w:cs="Apple Symbols"/>
          <w:sz w:val="16"/>
          <w:szCs w:val="16"/>
        </w:rPr>
        <w:t xml:space="preserve"> </w:t>
      </w:r>
      <w:r w:rsidRPr="00346B44">
        <w:rPr>
          <w:rFonts w:ascii="Garamond" w:hAnsi="Garamond" w:cs="Apple Symbols"/>
          <w:sz w:val="16"/>
          <w:szCs w:val="16"/>
          <w:lang w:val="en-US"/>
        </w:rPr>
        <w:t xml:space="preserve">Young, C. and Young, C. (1993) Park planning: A training manual (instructors guide), College of African Wildlife Management, Mweka, Tanzania. Cited in Thomas, L., and Middleton, J. (2003) Guidelines for management planning of protected areas, WCPA Best practice protected area guidelines series no. 10, IUCN, Cardiff University. </w:t>
      </w:r>
    </w:p>
  </w:footnote>
  <w:footnote w:id="16">
    <w:p w14:paraId="55D8D4F0" w14:textId="77F00171" w:rsidR="00E85059" w:rsidRPr="005D5D4F" w:rsidRDefault="00E85059" w:rsidP="00CF6D07">
      <w:pPr>
        <w:pStyle w:val="FootnoteText"/>
        <w:rPr>
          <w:rFonts w:ascii="Garamond" w:hAnsi="Garamond"/>
          <w:sz w:val="16"/>
          <w:szCs w:val="16"/>
          <w:lang w:val="en-US"/>
        </w:rPr>
      </w:pPr>
      <w:r w:rsidRPr="005D5D4F">
        <w:rPr>
          <w:rStyle w:val="FootnoteReference"/>
          <w:rFonts w:ascii="Garamond" w:hAnsi="Garamond"/>
          <w:sz w:val="16"/>
          <w:szCs w:val="16"/>
        </w:rPr>
        <w:footnoteRef/>
      </w:r>
      <w:r w:rsidRPr="005D5D4F">
        <w:rPr>
          <w:rFonts w:ascii="Garamond" w:hAnsi="Garamond"/>
          <w:sz w:val="16"/>
          <w:szCs w:val="16"/>
        </w:rPr>
        <w:t xml:space="preserve"> </w:t>
      </w:r>
      <w:r w:rsidRPr="005D5D4F">
        <w:rPr>
          <w:rFonts w:ascii="Garamond" w:hAnsi="Garamond"/>
          <w:sz w:val="16"/>
          <w:szCs w:val="16"/>
          <w:lang w:val="en-US"/>
        </w:rPr>
        <w:t>Adapted from Eagles et al, 2009</w:t>
      </w:r>
      <w:r>
        <w:rPr>
          <w:rFonts w:ascii="Garamond" w:hAnsi="Garamond"/>
          <w:sz w:val="16"/>
          <w:szCs w:val="16"/>
          <w:lang w:val="en-US"/>
        </w:rPr>
        <w:t xml:space="preserve">, op. cit. </w:t>
      </w:r>
    </w:p>
  </w:footnote>
  <w:footnote w:id="17">
    <w:p w14:paraId="50FFD83A" w14:textId="1B27D3F0" w:rsidR="00E85059" w:rsidRPr="00D26EAC" w:rsidRDefault="00E85059">
      <w:pPr>
        <w:pStyle w:val="FootnoteText"/>
        <w:rPr>
          <w:sz w:val="16"/>
          <w:szCs w:val="16"/>
          <w:lang w:val="en-US"/>
        </w:rPr>
      </w:pPr>
      <w:r w:rsidRPr="00D26EAC">
        <w:rPr>
          <w:rStyle w:val="FootnoteReference"/>
          <w:sz w:val="16"/>
          <w:szCs w:val="16"/>
        </w:rPr>
        <w:footnoteRef/>
      </w:r>
      <w:r w:rsidRPr="00D26EAC">
        <w:rPr>
          <w:sz w:val="16"/>
          <w:szCs w:val="16"/>
        </w:rPr>
        <w:t xml:space="preserve"> </w:t>
      </w:r>
      <w:hyperlink r:id="rId3" w:history="1">
        <w:r w:rsidRPr="00D26EAC">
          <w:rPr>
            <w:rStyle w:val="Hyperlink"/>
            <w:rFonts w:ascii="Garamond" w:hAnsi="Garamond"/>
            <w:sz w:val="16"/>
            <w:szCs w:val="16"/>
          </w:rPr>
          <w:t>http://www.desertknights-mtb.com/tour-overview</w:t>
        </w:r>
      </w:hyperlink>
      <w:r w:rsidRPr="00D26EAC">
        <w:rPr>
          <w:rFonts w:ascii="Garamond" w:hAnsi="Garamond"/>
          <w:sz w:val="16"/>
          <w:szCs w:val="16"/>
        </w:rPr>
        <w:t>, Pers Com. P. Bewsher, PPF, 2014; Pers Com. R. Vorwerk, Boundless Southern Africa, 2014</w:t>
      </w:r>
    </w:p>
  </w:footnote>
  <w:footnote w:id="18">
    <w:p w14:paraId="344FF961" w14:textId="69BEA426" w:rsidR="00E85059" w:rsidRPr="003C537F" w:rsidRDefault="00E85059" w:rsidP="00FF2AC3">
      <w:pPr>
        <w:spacing w:before="0" w:after="0" w:line="240" w:lineRule="auto"/>
        <w:rPr>
          <w:rFonts w:ascii="Garamond" w:hAnsi="Garamond"/>
          <w:sz w:val="16"/>
          <w:szCs w:val="16"/>
        </w:rPr>
      </w:pPr>
      <w:r w:rsidRPr="00455BBE">
        <w:rPr>
          <w:rStyle w:val="FootnoteReference"/>
          <w:rFonts w:ascii="Garamond" w:hAnsi="Garamond"/>
          <w:sz w:val="16"/>
          <w:szCs w:val="16"/>
        </w:rPr>
        <w:footnoteRef/>
      </w:r>
      <w:r w:rsidRPr="00455BBE">
        <w:rPr>
          <w:rFonts w:ascii="Garamond" w:hAnsi="Garamond"/>
          <w:sz w:val="16"/>
          <w:szCs w:val="16"/>
        </w:rPr>
        <w:t xml:space="preserve"> Kerf, M., Gray, R. D., Irwin, T., Levesque</w:t>
      </w:r>
      <w:r>
        <w:rPr>
          <w:rFonts w:ascii="Garamond" w:hAnsi="Garamond"/>
          <w:sz w:val="16"/>
          <w:szCs w:val="16"/>
        </w:rPr>
        <w:t>, C., and Taylor, R. R. (1998) C</w:t>
      </w:r>
      <w:r w:rsidRPr="00455BBE">
        <w:rPr>
          <w:rFonts w:ascii="Garamond" w:hAnsi="Garamond"/>
          <w:sz w:val="16"/>
          <w:szCs w:val="16"/>
        </w:rPr>
        <w:t>oncessions for infrastructure: A guide to their design and award, World Bank Technical Paper no. 399, World Bank and Inter-American Development Bank</w:t>
      </w:r>
      <w:r>
        <w:rPr>
          <w:rFonts w:ascii="Garamond" w:hAnsi="Garamond"/>
          <w:sz w:val="16"/>
          <w:szCs w:val="16"/>
        </w:rPr>
        <w:t xml:space="preserve"> </w:t>
      </w:r>
      <w:r w:rsidRPr="003C537F">
        <w:rPr>
          <w:rFonts w:ascii="Garamond" w:hAnsi="Garamond"/>
          <w:sz w:val="16"/>
          <w:szCs w:val="16"/>
        </w:rPr>
        <w:t>and IFC (2012) IFC Advisory Services: Public private partnerships, CP3 Operational Manual</w:t>
      </w:r>
    </w:p>
  </w:footnote>
  <w:footnote w:id="19">
    <w:p w14:paraId="1F14353B" w14:textId="1C97D9E5" w:rsidR="00E85059" w:rsidRPr="00D27F26" w:rsidRDefault="00E85059" w:rsidP="00D27F26">
      <w:pPr>
        <w:pStyle w:val="FootnoteText"/>
        <w:rPr>
          <w:rFonts w:ascii="Garamond" w:hAnsi="Garamond"/>
          <w:sz w:val="16"/>
          <w:szCs w:val="16"/>
          <w:lang w:val="en-US"/>
        </w:rPr>
      </w:pPr>
      <w:r w:rsidRPr="00D27F26">
        <w:rPr>
          <w:rStyle w:val="FootnoteReference"/>
          <w:rFonts w:ascii="Garamond" w:hAnsi="Garamond"/>
          <w:sz w:val="16"/>
          <w:szCs w:val="16"/>
        </w:rPr>
        <w:footnoteRef/>
      </w:r>
      <w:r w:rsidRPr="00D27F26">
        <w:rPr>
          <w:rFonts w:ascii="Garamond" w:hAnsi="Garamond"/>
          <w:sz w:val="16"/>
          <w:szCs w:val="16"/>
        </w:rPr>
        <w:t xml:space="preserve"> IFC (2012) IFC Advisory Services: Public private partnerships, CP3 Operational Manual</w:t>
      </w:r>
    </w:p>
  </w:footnote>
  <w:footnote w:id="20">
    <w:p w14:paraId="1E1CBDD6" w14:textId="31CFE7F4" w:rsidR="00E85059" w:rsidRPr="009A640E" w:rsidRDefault="00E85059" w:rsidP="00C01CFE">
      <w:pPr>
        <w:spacing w:before="0" w:after="0" w:line="240" w:lineRule="auto"/>
        <w:rPr>
          <w:rFonts w:ascii="Garamond" w:hAnsi="Garamond"/>
          <w:sz w:val="16"/>
          <w:szCs w:val="16"/>
        </w:rPr>
      </w:pPr>
      <w:r w:rsidRPr="009A640E">
        <w:rPr>
          <w:rStyle w:val="FootnoteReference"/>
          <w:rFonts w:ascii="Garamond" w:hAnsi="Garamond"/>
          <w:sz w:val="16"/>
          <w:szCs w:val="16"/>
        </w:rPr>
        <w:footnoteRef/>
      </w:r>
      <w:r w:rsidRPr="009A640E">
        <w:rPr>
          <w:rFonts w:ascii="Garamond" w:hAnsi="Garamond"/>
          <w:sz w:val="16"/>
          <w:szCs w:val="16"/>
        </w:rPr>
        <w:t xml:space="preserve"> Adapted from Ashley,</w:t>
      </w:r>
      <w:r>
        <w:rPr>
          <w:rFonts w:ascii="Garamond" w:hAnsi="Garamond"/>
          <w:sz w:val="16"/>
          <w:szCs w:val="16"/>
        </w:rPr>
        <w:t xml:space="preserve"> C.</w:t>
      </w:r>
      <w:r w:rsidRPr="009A640E">
        <w:rPr>
          <w:rFonts w:ascii="Garamond" w:hAnsi="Garamond"/>
          <w:sz w:val="16"/>
          <w:szCs w:val="16"/>
        </w:rPr>
        <w:t xml:space="preserve"> Roe</w:t>
      </w:r>
      <w:r>
        <w:rPr>
          <w:rFonts w:ascii="Garamond" w:hAnsi="Garamond"/>
          <w:sz w:val="16"/>
          <w:szCs w:val="16"/>
        </w:rPr>
        <w:t>, D.</w:t>
      </w:r>
      <w:r w:rsidRPr="009A640E">
        <w:rPr>
          <w:rFonts w:ascii="Garamond" w:hAnsi="Garamond"/>
          <w:sz w:val="16"/>
          <w:szCs w:val="16"/>
        </w:rPr>
        <w:t xml:space="preserve"> and Goodwin</w:t>
      </w:r>
      <w:r>
        <w:rPr>
          <w:rFonts w:ascii="Garamond" w:hAnsi="Garamond"/>
          <w:sz w:val="16"/>
          <w:szCs w:val="16"/>
        </w:rPr>
        <w:t>, H.</w:t>
      </w:r>
      <w:r w:rsidRPr="009A640E">
        <w:rPr>
          <w:rFonts w:ascii="Garamond" w:hAnsi="Garamond"/>
          <w:sz w:val="16"/>
          <w:szCs w:val="16"/>
        </w:rPr>
        <w:t xml:space="preserve"> (2000:4) Pro-Poor Tourism: Putting Poverty at the Heart of the Tourism Agenda. </w:t>
      </w:r>
      <w:hyperlink r:id="rId4" w:history="1">
        <w:r w:rsidRPr="009A640E">
          <w:rPr>
            <w:rStyle w:val="Hyperlink"/>
            <w:rFonts w:ascii="Garamond" w:hAnsi="Garamond"/>
            <w:sz w:val="16"/>
            <w:szCs w:val="16"/>
          </w:rPr>
          <w:t>http://www.odi.org.uk/sites/odi.org.uk/files/odi-assets/publications-opinion-files/2861.pdf</w:t>
        </w:r>
      </w:hyperlink>
      <w:r w:rsidRPr="009A640E">
        <w:rPr>
          <w:rFonts w:ascii="Garamond" w:hAnsi="Garamond"/>
          <w:sz w:val="16"/>
          <w:szCs w:val="16"/>
        </w:rPr>
        <w:t xml:space="preserve"> </w:t>
      </w:r>
    </w:p>
  </w:footnote>
  <w:footnote w:id="21">
    <w:p w14:paraId="0D681463" w14:textId="4D7436C0" w:rsidR="00E85059" w:rsidRPr="00DF0E91" w:rsidRDefault="00E85059" w:rsidP="00C93CFB">
      <w:pPr>
        <w:pStyle w:val="FootnoteText"/>
        <w:rPr>
          <w:lang w:val="en-US"/>
        </w:rPr>
      </w:pPr>
      <w:r>
        <w:rPr>
          <w:rStyle w:val="FootnoteReference"/>
        </w:rPr>
        <w:footnoteRef/>
      </w:r>
      <w:r>
        <w:t xml:space="preserve"> </w:t>
      </w:r>
      <w:r>
        <w:rPr>
          <w:rFonts w:ascii="Garamond" w:hAnsi="Garamond"/>
          <w:sz w:val="16"/>
          <w:szCs w:val="16"/>
        </w:rPr>
        <w:t>Adapted from Collins, S. (2012</w:t>
      </w:r>
      <w:r w:rsidRPr="004156A2">
        <w:rPr>
          <w:rFonts w:ascii="Garamond" w:hAnsi="Garamond"/>
          <w:sz w:val="16"/>
          <w:szCs w:val="16"/>
        </w:rPr>
        <w:t xml:space="preserve">) </w:t>
      </w:r>
      <w:r>
        <w:rPr>
          <w:rFonts w:ascii="Garamond" w:hAnsi="Garamond"/>
          <w:sz w:val="16"/>
          <w:szCs w:val="16"/>
        </w:rPr>
        <w:t xml:space="preserve">Ponto Chemucane, Maputo Special Reserve: Putting community at the centre? Available at </w:t>
      </w:r>
      <w:r w:rsidRPr="00DF0E91">
        <w:rPr>
          <w:rFonts w:ascii="Garamond" w:hAnsi="Garamond"/>
          <w:sz w:val="16"/>
          <w:szCs w:val="16"/>
        </w:rPr>
        <w:t>http://www.slideshare.net/AnnaSpenceley/chemucane-maputo-special-reserve-steve-collins</w:t>
      </w:r>
    </w:p>
  </w:footnote>
  <w:footnote w:id="22">
    <w:p w14:paraId="7A9F1336" w14:textId="77777777" w:rsidR="00E85059" w:rsidRPr="004156A2" w:rsidRDefault="00E85059" w:rsidP="004156A2">
      <w:pPr>
        <w:pStyle w:val="NormalWeb"/>
        <w:spacing w:after="0" w:line="240" w:lineRule="auto"/>
        <w:rPr>
          <w:rFonts w:ascii="Garamond" w:hAnsi="Garamond"/>
          <w:sz w:val="16"/>
          <w:szCs w:val="16"/>
        </w:rPr>
      </w:pPr>
      <w:r w:rsidRPr="004156A2">
        <w:rPr>
          <w:rStyle w:val="FootnoteReference"/>
          <w:rFonts w:ascii="Garamond" w:hAnsi="Garamond"/>
          <w:sz w:val="16"/>
          <w:szCs w:val="16"/>
        </w:rPr>
        <w:footnoteRef/>
      </w:r>
      <w:r w:rsidRPr="004156A2">
        <w:rPr>
          <w:rFonts w:ascii="Garamond" w:hAnsi="Garamond"/>
          <w:sz w:val="16"/>
          <w:szCs w:val="16"/>
        </w:rPr>
        <w:t xml:space="preserve"> Spenceley, A. (2003) Tourism, local livelihoods and the private sector in South Africa: case studies on the growing role of the private sector in natural resources management. </w:t>
      </w:r>
      <w:r w:rsidRPr="004156A2">
        <w:rPr>
          <w:rFonts w:ascii="Garamond" w:hAnsi="Garamond"/>
          <w:iCs/>
          <w:sz w:val="16"/>
          <w:szCs w:val="16"/>
        </w:rPr>
        <w:t>Sustainable Livelihoods in Southern Africa Research Paper 8</w:t>
      </w:r>
      <w:r w:rsidRPr="004156A2">
        <w:rPr>
          <w:rFonts w:ascii="Garamond" w:hAnsi="Garamond"/>
          <w:sz w:val="16"/>
          <w:szCs w:val="16"/>
        </w:rPr>
        <w:t>, Institute of Development Studies, Brighton, accessible from http://www.anna.spenceley.co.uk/files/TourismLivelihoods&amp;PrivateSectorSpenceley.pdf , pp51</w:t>
      </w:r>
    </w:p>
  </w:footnote>
  <w:footnote w:id="23">
    <w:p w14:paraId="1CE48B35" w14:textId="77777777" w:rsidR="00E85059" w:rsidRPr="004156A2" w:rsidRDefault="00E85059" w:rsidP="004156A2">
      <w:pPr>
        <w:pStyle w:val="FootnoteText"/>
        <w:rPr>
          <w:rFonts w:ascii="Garamond" w:hAnsi="Garamond"/>
          <w:sz w:val="16"/>
          <w:szCs w:val="16"/>
          <w:lang w:val="en-US"/>
        </w:rPr>
      </w:pPr>
      <w:r w:rsidRPr="004156A2">
        <w:rPr>
          <w:rStyle w:val="FootnoteReference"/>
          <w:rFonts w:ascii="Garamond" w:hAnsi="Garamond"/>
          <w:sz w:val="16"/>
          <w:szCs w:val="16"/>
        </w:rPr>
        <w:footnoteRef/>
      </w:r>
      <w:r w:rsidRPr="004156A2">
        <w:rPr>
          <w:rFonts w:ascii="Garamond" w:hAnsi="Garamond"/>
          <w:sz w:val="16"/>
          <w:szCs w:val="16"/>
        </w:rPr>
        <w:t xml:space="preserve"> IFC (2014) Managing environmental and social risks, accessible from http://www.ifc.org/wps/wcm/connect/Topics_Ext_Content/IFC_External_Corporate_Site/IFC+Sustainability/Risk+Management/</w:t>
      </w:r>
    </w:p>
  </w:footnote>
  <w:footnote w:id="24">
    <w:p w14:paraId="5938B6F3" w14:textId="0AFEB24B" w:rsidR="00E85059" w:rsidRPr="00EF32A1" w:rsidRDefault="00E85059" w:rsidP="004156A2">
      <w:pPr>
        <w:pStyle w:val="FootnoteText"/>
        <w:rPr>
          <w:lang w:val="en-US"/>
        </w:rPr>
      </w:pPr>
      <w:r w:rsidRPr="004156A2">
        <w:rPr>
          <w:rStyle w:val="FootnoteReference"/>
          <w:sz w:val="16"/>
          <w:szCs w:val="16"/>
        </w:rPr>
        <w:footnoteRef/>
      </w:r>
      <w:r w:rsidRPr="004156A2">
        <w:rPr>
          <w:sz w:val="16"/>
          <w:szCs w:val="16"/>
        </w:rPr>
        <w:t xml:space="preserve"> </w:t>
      </w:r>
      <w:r w:rsidRPr="004156A2">
        <w:rPr>
          <w:rFonts w:ascii="Garamond" w:hAnsi="Garamond"/>
          <w:sz w:val="16"/>
          <w:szCs w:val="16"/>
        </w:rPr>
        <w:t xml:space="preserve">IFC </w:t>
      </w:r>
      <w:r w:rsidRPr="00FE2B99">
        <w:rPr>
          <w:rFonts w:ascii="Garamond" w:hAnsi="Garamond"/>
          <w:sz w:val="16"/>
          <w:szCs w:val="16"/>
        </w:rPr>
        <w:t>(2012) op. cit</w:t>
      </w:r>
    </w:p>
  </w:footnote>
  <w:footnote w:id="25">
    <w:p w14:paraId="373A71D5" w14:textId="77777777" w:rsidR="00E85059" w:rsidRPr="00E4492C" w:rsidRDefault="00E85059" w:rsidP="00E4492C">
      <w:pPr>
        <w:pStyle w:val="NormalWeb"/>
        <w:spacing w:after="0" w:line="240" w:lineRule="auto"/>
        <w:rPr>
          <w:rFonts w:ascii="Garamond" w:hAnsi="Garamond"/>
          <w:sz w:val="16"/>
          <w:szCs w:val="16"/>
        </w:rPr>
      </w:pPr>
      <w:r w:rsidRPr="00E4492C">
        <w:rPr>
          <w:rStyle w:val="FootnoteReference"/>
          <w:sz w:val="16"/>
          <w:szCs w:val="16"/>
        </w:rPr>
        <w:footnoteRef/>
      </w:r>
      <w:r w:rsidRPr="00E4492C">
        <w:rPr>
          <w:sz w:val="16"/>
          <w:szCs w:val="16"/>
        </w:rPr>
        <w:t xml:space="preserve"> </w:t>
      </w:r>
      <w:r w:rsidRPr="00E4492C">
        <w:rPr>
          <w:rFonts w:ascii="Garamond" w:hAnsi="Garamond" w:cs="Arial"/>
          <w:sz w:val="16"/>
          <w:szCs w:val="16"/>
        </w:rPr>
        <w:t>Walton A. Gomei M. and Di Carlo G. (2013) Stakeholder engagement: Participatory Approaches for the Planning and Development of Marine Protected Areas. World Wide Fund for Nature and NOAA— National Marine Sanctuary Program, accessible from http://awsassets.panda.org/downloads/stakeholder_engagement.pdf</w:t>
      </w:r>
    </w:p>
  </w:footnote>
  <w:footnote w:id="26">
    <w:p w14:paraId="02553C0A" w14:textId="77777777" w:rsidR="00E85059" w:rsidRPr="009577E3" w:rsidRDefault="00E85059" w:rsidP="000D67E0">
      <w:pPr>
        <w:pStyle w:val="FootnoteText"/>
        <w:rPr>
          <w:sz w:val="16"/>
          <w:szCs w:val="16"/>
          <w:lang w:val="en-US"/>
        </w:rPr>
      </w:pPr>
      <w:r w:rsidRPr="009577E3">
        <w:rPr>
          <w:rStyle w:val="FootnoteReference"/>
          <w:sz w:val="16"/>
          <w:szCs w:val="16"/>
        </w:rPr>
        <w:footnoteRef/>
      </w:r>
      <w:r w:rsidRPr="009577E3">
        <w:rPr>
          <w:sz w:val="16"/>
          <w:szCs w:val="16"/>
        </w:rPr>
        <w:t xml:space="preserve"> </w:t>
      </w:r>
      <w:r w:rsidRPr="009577E3">
        <w:rPr>
          <w:rFonts w:ascii="Garamond" w:hAnsi="Garamond"/>
          <w:sz w:val="16"/>
          <w:szCs w:val="16"/>
          <w:lang w:val="en-US"/>
        </w:rPr>
        <w:t>Adapted from</w:t>
      </w:r>
      <w:r w:rsidRPr="009577E3">
        <w:rPr>
          <w:sz w:val="16"/>
          <w:szCs w:val="16"/>
          <w:lang w:val="en-US"/>
        </w:rPr>
        <w:t xml:space="preserve"> </w:t>
      </w:r>
      <w:r w:rsidRPr="009577E3">
        <w:rPr>
          <w:rFonts w:ascii="Garamond" w:hAnsi="Garamond"/>
          <w:sz w:val="16"/>
          <w:szCs w:val="16"/>
        </w:rPr>
        <w:t>http://tourisminvest.org/_manual/manual_workstream_stakeholder-mgt.html</w:t>
      </w:r>
    </w:p>
  </w:footnote>
  <w:footnote w:id="27">
    <w:p w14:paraId="1F5D4005" w14:textId="77777777" w:rsidR="00E85059" w:rsidRPr="00D80BEE" w:rsidRDefault="00E85059" w:rsidP="005050B1">
      <w:pPr>
        <w:pStyle w:val="FootnoteText"/>
        <w:rPr>
          <w:rFonts w:ascii="Garamond" w:hAnsi="Garamond"/>
          <w:sz w:val="16"/>
          <w:szCs w:val="16"/>
          <w:lang w:val="en-US"/>
        </w:rPr>
      </w:pPr>
      <w:r w:rsidRPr="00D80BEE">
        <w:rPr>
          <w:rStyle w:val="FootnoteReference"/>
          <w:rFonts w:ascii="Garamond" w:hAnsi="Garamond"/>
          <w:sz w:val="16"/>
          <w:szCs w:val="16"/>
        </w:rPr>
        <w:footnoteRef/>
      </w:r>
      <w:r w:rsidRPr="00D80BEE">
        <w:rPr>
          <w:rFonts w:ascii="Garamond" w:hAnsi="Garamond"/>
          <w:sz w:val="16"/>
          <w:szCs w:val="16"/>
        </w:rPr>
        <w:t xml:space="preserve"> Adapted from IFC 2007, pp 10, op. cit. </w:t>
      </w:r>
    </w:p>
  </w:footnote>
  <w:footnote w:id="28">
    <w:p w14:paraId="1AECEFC0" w14:textId="77777777" w:rsidR="00E85059" w:rsidRPr="009577E3" w:rsidRDefault="00E85059" w:rsidP="000D67E0">
      <w:pPr>
        <w:pStyle w:val="FootnoteText"/>
        <w:rPr>
          <w:sz w:val="16"/>
          <w:szCs w:val="16"/>
          <w:lang w:val="en-US"/>
        </w:rPr>
      </w:pPr>
      <w:r w:rsidRPr="009577E3">
        <w:rPr>
          <w:rStyle w:val="FootnoteReference"/>
          <w:sz w:val="16"/>
          <w:szCs w:val="16"/>
        </w:rPr>
        <w:footnoteRef/>
      </w:r>
      <w:r w:rsidRPr="009577E3">
        <w:rPr>
          <w:sz w:val="16"/>
          <w:szCs w:val="16"/>
        </w:rPr>
        <w:t xml:space="preserve"> </w:t>
      </w:r>
      <w:r w:rsidRPr="009577E3">
        <w:rPr>
          <w:rFonts w:ascii="Garamond" w:hAnsi="Garamond"/>
          <w:sz w:val="16"/>
          <w:szCs w:val="16"/>
        </w:rPr>
        <w:t xml:space="preserve">IFC (2007) op. cit. </w:t>
      </w:r>
    </w:p>
  </w:footnote>
  <w:footnote w:id="29">
    <w:p w14:paraId="776A3392" w14:textId="77777777" w:rsidR="00E85059" w:rsidRPr="005B5CF1" w:rsidRDefault="00E85059" w:rsidP="009577E3">
      <w:pPr>
        <w:pStyle w:val="FootnoteText"/>
        <w:rPr>
          <w:lang w:val="en-US"/>
        </w:rPr>
      </w:pPr>
      <w:r>
        <w:rPr>
          <w:rStyle w:val="FootnoteReference"/>
        </w:rPr>
        <w:footnoteRef/>
      </w:r>
      <w:r>
        <w:t xml:space="preserve"> </w:t>
      </w:r>
      <w:r w:rsidRPr="0075470F">
        <w:rPr>
          <w:rFonts w:ascii="Garamond" w:hAnsi="Garamond"/>
          <w:sz w:val="16"/>
          <w:szCs w:val="16"/>
        </w:rPr>
        <w:t xml:space="preserve">South Africa: SANParks (2012) Annual report, </w:t>
      </w:r>
      <w:hyperlink r:id="rId5" w:history="1">
        <w:r w:rsidRPr="0075470F">
          <w:rPr>
            <w:rStyle w:val="Hyperlink"/>
            <w:rFonts w:ascii="Garamond" w:hAnsi="Garamond"/>
            <w:sz w:val="16"/>
            <w:szCs w:val="16"/>
          </w:rPr>
          <w:t>http://www.sanparks.org/assets/docs/general/annual-report-2012.pdf</w:t>
        </w:r>
      </w:hyperlink>
      <w:r w:rsidRPr="0075470F">
        <w:rPr>
          <w:rFonts w:ascii="Garamond" w:hAnsi="Garamond"/>
          <w:sz w:val="16"/>
          <w:szCs w:val="16"/>
        </w:rPr>
        <w:t xml:space="preserve">: pp29-30; Exchange rate of 1 June 2012 used of 0.11714, </w:t>
      </w:r>
      <w:hyperlink r:id="rId6" w:history="1">
        <w:r w:rsidRPr="0075470F">
          <w:rPr>
            <w:rStyle w:val="Hyperlink"/>
            <w:rFonts w:ascii="Garamond" w:hAnsi="Garamond"/>
            <w:sz w:val="16"/>
            <w:szCs w:val="16"/>
          </w:rPr>
          <w:t>www.oanda.com</w:t>
        </w:r>
      </w:hyperlink>
      <w:r w:rsidRPr="0075470F">
        <w:rPr>
          <w:rStyle w:val="Hyperlink"/>
          <w:rFonts w:ascii="Garamond" w:hAnsi="Garamond"/>
          <w:sz w:val="16"/>
          <w:szCs w:val="16"/>
        </w:rPr>
        <w:t xml:space="preserve">, Namibia: </w:t>
      </w:r>
      <w:hyperlink r:id="rId7" w:history="1">
        <w:r w:rsidRPr="0075470F">
          <w:rPr>
            <w:rStyle w:val="Hyperlink"/>
            <w:rFonts w:ascii="Garamond" w:hAnsi="Garamond"/>
            <w:sz w:val="16"/>
            <w:szCs w:val="16"/>
          </w:rPr>
          <w:t>http://www.met.gov.na/SPAN/Pages/Concessions.aspx</w:t>
        </w:r>
      </w:hyperlink>
      <w:r w:rsidRPr="0075470F">
        <w:rPr>
          <w:rStyle w:val="Hyperlink"/>
          <w:rFonts w:ascii="Garamond" w:hAnsi="Garamond"/>
          <w:sz w:val="16"/>
          <w:szCs w:val="16"/>
        </w:rPr>
        <w:t xml:space="preserve">; Desert Knights: </w:t>
      </w:r>
      <w:r w:rsidRPr="0075470F">
        <w:rPr>
          <w:rFonts w:ascii="Garamond" w:hAnsi="Garamond"/>
          <w:sz w:val="16"/>
          <w:szCs w:val="16"/>
          <w:lang w:val="en-US"/>
        </w:rPr>
        <w:t>Pers Com. P. Bewsher, PPF, 2014; Pers Com. R. Vorwerk, Boundless SA, 2014; Tour de Tuli: Pers Com. S. Snyman, Wilderness Safaris/Children in the Wilderness, 2014, Snyman, S. (2014) Nedbank Tour de Tuli, Presentation to the GMTFCA Trilateral Techncial Committee on 11 April, 2014, Johannesburg, South Africa.</w:t>
      </w:r>
      <w:r>
        <w:rPr>
          <w:rFonts w:ascii="Garamond" w:hAnsi="Garamond"/>
          <w:sz w:val="16"/>
          <w:szCs w:val="16"/>
          <w:lang w:val="en-US"/>
        </w:rPr>
        <w:t xml:space="preserve"> </w:t>
      </w:r>
    </w:p>
  </w:footnote>
  <w:footnote w:id="30">
    <w:p w14:paraId="40495BF4" w14:textId="77777777" w:rsidR="00E85059" w:rsidRPr="00CA156D" w:rsidRDefault="00E85059" w:rsidP="009577E3">
      <w:pPr>
        <w:pStyle w:val="FootnoteText"/>
        <w:rPr>
          <w:rFonts w:ascii="Garamond" w:hAnsi="Garamond"/>
          <w:b/>
          <w:sz w:val="16"/>
          <w:szCs w:val="16"/>
          <w:lang w:val="en-US"/>
        </w:rPr>
      </w:pPr>
      <w:r w:rsidRPr="00CA156D">
        <w:rPr>
          <w:rStyle w:val="FootnoteReference"/>
          <w:rFonts w:ascii="Garamond" w:hAnsi="Garamond"/>
          <w:sz w:val="16"/>
          <w:szCs w:val="16"/>
        </w:rPr>
        <w:footnoteRef/>
      </w:r>
      <w:r w:rsidRPr="00CA156D">
        <w:rPr>
          <w:rFonts w:ascii="Garamond" w:hAnsi="Garamond"/>
          <w:sz w:val="16"/>
          <w:szCs w:val="16"/>
        </w:rPr>
        <w:t xml:space="preserve"> </w:t>
      </w:r>
      <w:r w:rsidRPr="00CA156D">
        <w:rPr>
          <w:rFonts w:ascii="Garamond" w:hAnsi="Garamond"/>
          <w:sz w:val="16"/>
          <w:szCs w:val="16"/>
          <w:lang w:val="en-US"/>
        </w:rPr>
        <w:t>Adapted from Alberta Tourism, Parks and Recreation (1991) Tourism business planning guide: a guide to assist with the preparation of a business plan,  accessible at https://www.albertacanada.com/files/albertacanada/2-Business_Planning_Guide.pdf</w:t>
      </w:r>
    </w:p>
  </w:footnote>
  <w:footnote w:id="31">
    <w:p w14:paraId="0F2DFB25" w14:textId="77777777" w:rsidR="00E85059" w:rsidRPr="00AF5F64" w:rsidRDefault="00E85059" w:rsidP="00AF5F64">
      <w:pPr>
        <w:pStyle w:val="FootnoteText"/>
        <w:rPr>
          <w:rFonts w:ascii="Garamond" w:hAnsi="Garamond"/>
          <w:sz w:val="16"/>
          <w:szCs w:val="16"/>
          <w:lang w:val="en-US"/>
        </w:rPr>
      </w:pPr>
      <w:r w:rsidRPr="00AF5F64">
        <w:rPr>
          <w:rStyle w:val="FootnoteReference"/>
          <w:rFonts w:ascii="Garamond" w:hAnsi="Garamond"/>
          <w:sz w:val="16"/>
          <w:szCs w:val="16"/>
        </w:rPr>
        <w:footnoteRef/>
      </w:r>
      <w:r w:rsidRPr="00AF5F64">
        <w:rPr>
          <w:rFonts w:ascii="Garamond" w:hAnsi="Garamond"/>
          <w:sz w:val="16"/>
          <w:szCs w:val="16"/>
        </w:rPr>
        <w:t xml:space="preserve"> </w:t>
      </w:r>
      <w:r w:rsidRPr="00AF5F64">
        <w:rPr>
          <w:rFonts w:ascii="Garamond" w:hAnsi="Garamond"/>
          <w:sz w:val="16"/>
          <w:szCs w:val="16"/>
          <w:lang w:val="en-US"/>
        </w:rPr>
        <w:t xml:space="preserve">Whyte, R., Perrottet, J., Di Fiori, V., and Neville, H. (2013) </w:t>
      </w:r>
      <w:r w:rsidRPr="00AF5F64">
        <w:rPr>
          <w:rFonts w:ascii="Garamond" w:hAnsi="Garamond"/>
          <w:sz w:val="16"/>
          <w:szCs w:val="16"/>
        </w:rPr>
        <w:t xml:space="preserve">Global Investment Promotion Best Practices: Winning tourism investment, World Bank, Available from </w:t>
      </w:r>
      <w:hyperlink r:id="rId8" w:history="1">
        <w:r w:rsidRPr="00AF5F64">
          <w:rPr>
            <w:rStyle w:val="Hyperlink"/>
            <w:rFonts w:ascii="Garamond" w:hAnsi="Garamond"/>
            <w:sz w:val="16"/>
            <w:szCs w:val="16"/>
          </w:rPr>
          <w:t>https://www.wbginvestmentclimate.org/advisory-services/investment-generation/investment-policy-and-promotion/gipb/upload/Tourism-GIPB-report.pdf</w:t>
        </w:r>
      </w:hyperlink>
      <w:r w:rsidRPr="00AF5F64">
        <w:rPr>
          <w:rFonts w:ascii="Garamond" w:hAnsi="Garamond"/>
          <w:sz w:val="16"/>
          <w:szCs w:val="16"/>
        </w:rPr>
        <w:t>, pp7</w:t>
      </w:r>
    </w:p>
  </w:footnote>
  <w:footnote w:id="32">
    <w:p w14:paraId="6E967E03" w14:textId="77777777" w:rsidR="00E85059" w:rsidRPr="00950E1B" w:rsidRDefault="00E85059" w:rsidP="00813543">
      <w:pPr>
        <w:pStyle w:val="FootnoteText"/>
        <w:rPr>
          <w:rFonts w:ascii="Garamond" w:hAnsi="Garamond"/>
          <w:sz w:val="16"/>
          <w:szCs w:val="16"/>
          <w:lang w:val="en-US"/>
        </w:rPr>
      </w:pPr>
      <w:r w:rsidRPr="00950E1B">
        <w:rPr>
          <w:rStyle w:val="FootnoteReference"/>
          <w:rFonts w:ascii="Garamond" w:hAnsi="Garamond"/>
          <w:sz w:val="16"/>
          <w:szCs w:val="16"/>
        </w:rPr>
        <w:footnoteRef/>
      </w:r>
      <w:r w:rsidRPr="00950E1B">
        <w:rPr>
          <w:rFonts w:ascii="Garamond" w:hAnsi="Garamond"/>
          <w:sz w:val="16"/>
          <w:szCs w:val="16"/>
        </w:rPr>
        <w:t xml:space="preserve"> Gray, R. D., Irwin, T., Levesque, C. and Taylor, R. R. (1998) Concessions for infrastructure: a guide to their design and award, World Bank Technical paper no 399. World Bank and Inter-American Development Bank</w:t>
      </w:r>
    </w:p>
  </w:footnote>
  <w:footnote w:id="33">
    <w:p w14:paraId="1DB6083E" w14:textId="77777777" w:rsidR="00E85059" w:rsidRPr="00950E1B" w:rsidRDefault="00E85059" w:rsidP="00E72859">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Dellacha, G. (2007) Unsolicited infrastructure proposals: how some countries introduce competition and transparency, Public-private infrastructure advisory facility, Working Paper no. 1</w:t>
      </w:r>
      <w:r>
        <w:rPr>
          <w:rFonts w:ascii="Garamond" w:hAnsi="Garamond"/>
          <w:sz w:val="16"/>
          <w:szCs w:val="16"/>
        </w:rPr>
        <w:t>: pp5-8</w:t>
      </w:r>
    </w:p>
  </w:footnote>
  <w:footnote w:id="34">
    <w:p w14:paraId="2703D0C1" w14:textId="77777777" w:rsidR="00E85059" w:rsidRPr="00950E1B" w:rsidRDefault="00E85059" w:rsidP="00D00338">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Dellacha, G. (2007) Unsolicited infrastructure proposals: how some countries introduce competition and transparency, Public-private infrastructure advisory facility, Working Paper no. 1</w:t>
      </w:r>
    </w:p>
  </w:footnote>
  <w:footnote w:id="35">
    <w:p w14:paraId="23B2F8EC" w14:textId="32FEEA5C" w:rsidR="00E85059" w:rsidRPr="00950E1B" w:rsidRDefault="00E85059" w:rsidP="001C5941">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Dellacha, G. (2007) </w:t>
      </w:r>
      <w:r>
        <w:rPr>
          <w:rFonts w:ascii="Garamond" w:hAnsi="Garamond"/>
          <w:sz w:val="16"/>
          <w:szCs w:val="16"/>
        </w:rPr>
        <w:t>op. cit.</w:t>
      </w:r>
    </w:p>
  </w:footnote>
  <w:footnote w:id="36">
    <w:p w14:paraId="240448AF" w14:textId="77777777" w:rsidR="00E85059" w:rsidRPr="00950E1B" w:rsidRDefault="00E85059" w:rsidP="001C5941">
      <w:pPr>
        <w:pStyle w:val="FootnoteText"/>
        <w:rPr>
          <w:lang w:val="en-US"/>
        </w:rPr>
      </w:pPr>
      <w:r w:rsidRPr="00950E1B">
        <w:rPr>
          <w:rStyle w:val="FootnoteReference"/>
          <w:rFonts w:ascii="Garamond" w:hAnsi="Garamond"/>
          <w:sz w:val="16"/>
          <w:szCs w:val="16"/>
        </w:rPr>
        <w:footnoteRef/>
      </w:r>
      <w:r w:rsidRPr="00950E1B">
        <w:rPr>
          <w:rFonts w:ascii="Garamond" w:hAnsi="Garamond"/>
          <w:sz w:val="16"/>
          <w:szCs w:val="16"/>
        </w:rPr>
        <w:t xml:space="preserve"> http://ppp.worldbank.org/public-private-partnership/legislation-regulation/laws/ppp-and-concession-laws#how_to_manage</w:t>
      </w:r>
    </w:p>
  </w:footnote>
  <w:footnote w:id="37">
    <w:p w14:paraId="2810685E" w14:textId="5636E082" w:rsidR="00E85059" w:rsidRPr="005A09C9" w:rsidRDefault="00E85059" w:rsidP="001D51E4">
      <w:pPr>
        <w:pStyle w:val="FootnoteText"/>
        <w:rPr>
          <w:rFonts w:ascii="Garamond" w:hAnsi="Garamond"/>
          <w:sz w:val="16"/>
          <w:szCs w:val="16"/>
          <w:lang w:val="en-US"/>
        </w:rPr>
      </w:pPr>
      <w:r w:rsidRPr="005A09C9">
        <w:rPr>
          <w:rStyle w:val="FootnoteReference"/>
          <w:rFonts w:ascii="Garamond" w:hAnsi="Garamond"/>
          <w:sz w:val="16"/>
          <w:szCs w:val="16"/>
        </w:rPr>
        <w:footnoteRef/>
      </w:r>
      <w:r w:rsidRPr="005A09C9">
        <w:rPr>
          <w:rFonts w:ascii="Garamond" w:hAnsi="Garamond"/>
          <w:sz w:val="16"/>
          <w:szCs w:val="16"/>
        </w:rPr>
        <w:t xml:space="preserve"> IFC (2012) IFC Advisory Services: Public private partnerships, CP3 Operational Manual</w:t>
      </w:r>
    </w:p>
  </w:footnote>
  <w:footnote w:id="38">
    <w:p w14:paraId="2BE314EC" w14:textId="77777777" w:rsidR="00E85059" w:rsidRPr="00EF7175" w:rsidRDefault="00E85059" w:rsidP="00615489">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39">
    <w:p w14:paraId="1CC0665B" w14:textId="625D0641" w:rsidR="00E85059" w:rsidRPr="00EF7175" w:rsidRDefault="00E85059" w:rsidP="001D51E4">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0">
    <w:p w14:paraId="1457A312" w14:textId="7E80BCE6" w:rsidR="00E85059" w:rsidRPr="00EF7175" w:rsidRDefault="00E85059" w:rsidP="001D51E4">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1">
    <w:p w14:paraId="2D31D4C9" w14:textId="77777777" w:rsidR="00E85059" w:rsidRPr="00EF7175" w:rsidRDefault="00E85059" w:rsidP="00615489">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2">
    <w:p w14:paraId="50D45C88" w14:textId="77777777" w:rsidR="00E85059" w:rsidRPr="00945DB2" w:rsidRDefault="00E85059" w:rsidP="0037316F">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CRISIL (2013) Lesotho Tourism Public Private Partnership Contract Management Consulting, Contract management Manual and resources, Volume 2: Contract management training manual</w:t>
      </w:r>
    </w:p>
  </w:footnote>
  <w:footnote w:id="43">
    <w:p w14:paraId="7E1B25DA" w14:textId="77777777" w:rsidR="00E85059" w:rsidRPr="00BA437B" w:rsidRDefault="00E85059" w:rsidP="00BA437B">
      <w:pPr>
        <w:spacing w:before="0" w:after="0" w:line="240" w:lineRule="auto"/>
        <w:rPr>
          <w:rFonts w:ascii="Garamond" w:hAnsi="Garamond"/>
          <w:sz w:val="16"/>
          <w:szCs w:val="16"/>
        </w:rPr>
      </w:pPr>
      <w:r w:rsidRPr="00BA437B">
        <w:rPr>
          <w:rStyle w:val="FootnoteReference"/>
          <w:sz w:val="16"/>
          <w:szCs w:val="16"/>
        </w:rPr>
        <w:footnoteRef/>
      </w:r>
      <w:r w:rsidRPr="00BA437B">
        <w:rPr>
          <w:sz w:val="16"/>
          <w:szCs w:val="16"/>
        </w:rPr>
        <w:t xml:space="preserve"> </w:t>
      </w:r>
      <w:r w:rsidRPr="00BA437B">
        <w:rPr>
          <w:rFonts w:ascii="Garamond" w:hAnsi="Garamond"/>
          <w:sz w:val="16"/>
          <w:szCs w:val="16"/>
        </w:rPr>
        <w:t>CRISL Ltd (2013) Lesotho Tourism Public Private Partnership Contract Management Consulting, pp33</w:t>
      </w:r>
    </w:p>
  </w:footnote>
  <w:footnote w:id="44">
    <w:p w14:paraId="7BB0D608" w14:textId="77777777" w:rsidR="00E85059" w:rsidRPr="00EF7175" w:rsidRDefault="00E85059" w:rsidP="00AD5CB2">
      <w:pPr>
        <w:pStyle w:val="FootnoteText"/>
        <w:rPr>
          <w:rFonts w:ascii="Garamond" w:hAnsi="Garamond"/>
          <w:sz w:val="16"/>
          <w:szCs w:val="16"/>
          <w:lang w:val="en-US"/>
        </w:rPr>
      </w:pPr>
      <w:r w:rsidRPr="00EF7175">
        <w:rPr>
          <w:rStyle w:val="FootnoteReference"/>
          <w:rFonts w:ascii="Garamond" w:hAnsi="Garamond"/>
          <w:sz w:val="16"/>
          <w:szCs w:val="16"/>
        </w:rPr>
        <w:footnoteRef/>
      </w:r>
      <w:r w:rsidRPr="00EF7175">
        <w:rPr>
          <w:rFonts w:ascii="Garamond" w:hAnsi="Garamond"/>
          <w:sz w:val="16"/>
          <w:szCs w:val="16"/>
        </w:rPr>
        <w:t xml:space="preserve"> IFC (2012) IFC Advisory Services: Public private partnerships, CP3 Operational Manual</w:t>
      </w:r>
    </w:p>
  </w:footnote>
  <w:footnote w:id="45">
    <w:p w14:paraId="1594DA01" w14:textId="77777777" w:rsidR="00E85059" w:rsidRPr="00EF7175" w:rsidRDefault="00E85059" w:rsidP="00AD5CB2">
      <w:pPr>
        <w:pStyle w:val="FootnoteText"/>
        <w:rPr>
          <w:rFonts w:ascii="Garamond" w:hAnsi="Garamond"/>
          <w:sz w:val="16"/>
          <w:szCs w:val="16"/>
          <w:lang w:val="en-US"/>
        </w:rPr>
      </w:pPr>
      <w:r w:rsidRPr="00EF7175">
        <w:rPr>
          <w:rStyle w:val="FootnoteReference"/>
          <w:rFonts w:ascii="Garamond" w:hAnsi="Garamond"/>
          <w:sz w:val="16"/>
          <w:szCs w:val="16"/>
        </w:rPr>
        <w:footnoteRef/>
      </w:r>
      <w:r w:rsidRPr="00EF7175">
        <w:rPr>
          <w:rFonts w:ascii="Garamond" w:hAnsi="Garamond"/>
          <w:sz w:val="16"/>
          <w:szCs w:val="16"/>
        </w:rPr>
        <w:t xml:space="preserve"> IFC (2012) IFC Advisory Services: Public private partnerships, CP3 Operational Manual</w:t>
      </w:r>
    </w:p>
  </w:footnote>
  <w:footnote w:id="46">
    <w:p w14:paraId="1ADE3DE7" w14:textId="2E9D88D1" w:rsidR="00E85059" w:rsidRPr="0051785F" w:rsidRDefault="00E85059">
      <w:pPr>
        <w:pStyle w:val="FootnoteText"/>
        <w:rPr>
          <w:rFonts w:ascii="Garamond" w:hAnsi="Garamond"/>
          <w:sz w:val="16"/>
          <w:szCs w:val="16"/>
          <w:lang w:val="en-US"/>
        </w:rPr>
      </w:pPr>
      <w:r w:rsidRPr="0051785F">
        <w:rPr>
          <w:rStyle w:val="FootnoteReference"/>
          <w:rFonts w:ascii="Garamond" w:hAnsi="Garamond"/>
          <w:sz w:val="16"/>
          <w:szCs w:val="16"/>
        </w:rPr>
        <w:footnoteRef/>
      </w:r>
      <w:r w:rsidRPr="0051785F">
        <w:rPr>
          <w:rFonts w:ascii="Garamond" w:hAnsi="Garamond"/>
          <w:sz w:val="16"/>
          <w:szCs w:val="16"/>
        </w:rPr>
        <w:t xml:space="preserve"> </w:t>
      </w:r>
      <w:r>
        <w:rPr>
          <w:rFonts w:ascii="Garamond" w:hAnsi="Garamond"/>
          <w:sz w:val="16"/>
          <w:szCs w:val="16"/>
        </w:rPr>
        <w:t xml:space="preserve">Adapted from </w:t>
      </w:r>
      <w:r w:rsidRPr="0051785F">
        <w:rPr>
          <w:rFonts w:ascii="Garamond" w:hAnsi="Garamond"/>
          <w:sz w:val="16"/>
          <w:szCs w:val="16"/>
          <w:lang w:val="en-US"/>
        </w:rPr>
        <w:t>National Treasury (2005)</w:t>
      </w:r>
      <w:r>
        <w:rPr>
          <w:rFonts w:ascii="Garamond" w:hAnsi="Garamond"/>
          <w:sz w:val="16"/>
          <w:szCs w:val="16"/>
          <w:lang w:val="en-US"/>
        </w:rPr>
        <w:t xml:space="preserve"> op. cit.: pp22</w:t>
      </w:r>
    </w:p>
  </w:footnote>
  <w:footnote w:id="47">
    <w:p w14:paraId="7E358F46" w14:textId="31FA4A24" w:rsidR="00E85059" w:rsidRPr="00577281" w:rsidRDefault="00E85059" w:rsidP="003935FC">
      <w:pPr>
        <w:pStyle w:val="FootnoteText"/>
        <w:rPr>
          <w:sz w:val="16"/>
          <w:szCs w:val="16"/>
          <w:lang w:val="en-US"/>
        </w:rPr>
      </w:pPr>
      <w:r w:rsidRPr="00577281">
        <w:rPr>
          <w:rStyle w:val="FootnoteReference"/>
          <w:rFonts w:ascii="Garamond" w:hAnsi="Garamond"/>
          <w:sz w:val="16"/>
          <w:szCs w:val="16"/>
        </w:rPr>
        <w:footnoteRef/>
      </w:r>
      <w:r w:rsidRPr="00577281">
        <w:rPr>
          <w:rFonts w:ascii="Garamond" w:hAnsi="Garamond"/>
          <w:sz w:val="16"/>
          <w:szCs w:val="16"/>
        </w:rPr>
        <w:t xml:space="preserve"> Adapted from </w:t>
      </w:r>
      <w:r w:rsidRPr="00577281">
        <w:rPr>
          <w:rFonts w:ascii="Garamond" w:hAnsi="Garamond"/>
          <w:sz w:val="16"/>
          <w:szCs w:val="16"/>
          <w:lang w:val="en-US"/>
        </w:rPr>
        <w:t>National Treasury (2004) PPP Project cycle</w:t>
      </w:r>
    </w:p>
  </w:footnote>
  <w:footnote w:id="48">
    <w:p w14:paraId="07AD1499" w14:textId="77777777" w:rsidR="00E85059" w:rsidRPr="003E480C" w:rsidRDefault="00E85059" w:rsidP="00307B77">
      <w:pPr>
        <w:pStyle w:val="FootnoteText"/>
        <w:rPr>
          <w:sz w:val="16"/>
          <w:szCs w:val="16"/>
          <w:lang w:val="en-US"/>
        </w:rPr>
      </w:pPr>
      <w:r w:rsidRPr="003E480C">
        <w:rPr>
          <w:rStyle w:val="FootnoteReference"/>
          <w:sz w:val="16"/>
          <w:szCs w:val="16"/>
        </w:rPr>
        <w:footnoteRef/>
      </w:r>
      <w:r w:rsidRPr="003E480C">
        <w:rPr>
          <w:sz w:val="16"/>
          <w:szCs w:val="16"/>
        </w:rPr>
        <w:t xml:space="preserve"> </w:t>
      </w:r>
      <w:r w:rsidRPr="003E480C">
        <w:rPr>
          <w:rFonts w:ascii="Garamond" w:hAnsi="Garamond"/>
          <w:sz w:val="16"/>
          <w:szCs w:val="16"/>
        </w:rPr>
        <w:t>IFC (2007) op. cit. pp38</w:t>
      </w:r>
    </w:p>
  </w:footnote>
  <w:footnote w:id="49">
    <w:p w14:paraId="1C2661D2"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pp38</w:t>
      </w:r>
    </w:p>
  </w:footnote>
  <w:footnote w:id="50">
    <w:p w14:paraId="1B9B89E1"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pp38</w:t>
      </w:r>
    </w:p>
  </w:footnote>
  <w:footnote w:id="51">
    <w:p w14:paraId="39053755"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pp38</w:t>
      </w:r>
    </w:p>
  </w:footnote>
  <w:footnote w:id="52">
    <w:p w14:paraId="2B2059D9" w14:textId="77777777" w:rsidR="00E85059" w:rsidRPr="001B7FA4" w:rsidRDefault="00E85059" w:rsidP="00B719FA">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pp39</w:t>
      </w:r>
    </w:p>
  </w:footnote>
  <w:footnote w:id="53">
    <w:p w14:paraId="6FF07DD5" w14:textId="77777777" w:rsidR="00E85059" w:rsidRPr="001B7FA4" w:rsidRDefault="00E85059" w:rsidP="001B7FA4">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pp38</w:t>
      </w:r>
    </w:p>
  </w:footnote>
  <w:footnote w:id="54">
    <w:p w14:paraId="2B037154" w14:textId="78D59545" w:rsidR="00E85059" w:rsidRPr="001B7FA4" w:rsidRDefault="00E85059">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National Treasury, 2005: pp59</w:t>
      </w:r>
      <w:r>
        <w:rPr>
          <w:rFonts w:ascii="Garamond" w:hAnsi="Garamond"/>
          <w:sz w:val="16"/>
          <w:szCs w:val="16"/>
        </w:rPr>
        <w:t xml:space="preserve"> &amp; example on p62</w:t>
      </w:r>
    </w:p>
  </w:footnote>
  <w:footnote w:id="55">
    <w:p w14:paraId="3010E5F3" w14:textId="77777777" w:rsidR="00E85059" w:rsidRPr="00F65CF1" w:rsidRDefault="00E85059" w:rsidP="00B719FA">
      <w:pPr>
        <w:pStyle w:val="FootnoteText"/>
        <w:rPr>
          <w:lang w:val="en-US"/>
        </w:rPr>
      </w:pPr>
      <w:r w:rsidRPr="001B7FA4">
        <w:rPr>
          <w:rStyle w:val="FootnoteReference"/>
          <w:rFonts w:ascii="Garamond" w:hAnsi="Garamond"/>
          <w:sz w:val="16"/>
          <w:szCs w:val="16"/>
        </w:rPr>
        <w:footnoteRef/>
      </w:r>
      <w:r w:rsidRPr="001B7FA4">
        <w:rPr>
          <w:rFonts w:ascii="Garamond" w:hAnsi="Garamond"/>
          <w:sz w:val="16"/>
          <w:szCs w:val="16"/>
        </w:rPr>
        <w:t xml:space="preserve"> IFC (2007) op. cit. pp39</w:t>
      </w:r>
    </w:p>
  </w:footnote>
  <w:footnote w:id="56">
    <w:p w14:paraId="7004B3E8" w14:textId="5314F5E4" w:rsidR="00E85059" w:rsidRPr="000515B3" w:rsidRDefault="00E85059" w:rsidP="000515B3">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w:t>
      </w:r>
      <w:r>
        <w:rPr>
          <w:rFonts w:ascii="Garamond" w:hAnsi="Garamond"/>
          <w:sz w:val="16"/>
          <w:szCs w:val="16"/>
        </w:rPr>
        <w:t xml:space="preserve">Adapted from National Treasury (2005) op. cit and Varghese, G. (2008) Public private partnerships in South African National Parks, in Spenceley, A. (ed) Responsible tourism: critical issues for conservation and development, Earthscan, pp77, </w:t>
      </w:r>
    </w:p>
  </w:footnote>
  <w:footnote w:id="57">
    <w:p w14:paraId="4754E86C" w14:textId="28EBA699" w:rsidR="00E85059" w:rsidRPr="001416CA" w:rsidRDefault="00E85059" w:rsidP="001416CA">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Grove, A. S. (1996) Only the Paranoid survive, cited in CRISIL (2013) Lesotho Tourism Public Private Partnership Contract Management Consulting, Contract management Manual and resources, Volume 2: Contract management training manual</w:t>
      </w:r>
    </w:p>
  </w:footnote>
  <w:footnote w:id="58">
    <w:p w14:paraId="7AB78866" w14:textId="7ADE335B" w:rsidR="00E85059" w:rsidRPr="00945DB2" w:rsidRDefault="00E85059" w:rsidP="001416CA">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Grove, A. S. (1996) </w:t>
      </w:r>
      <w:r>
        <w:rPr>
          <w:rFonts w:ascii="Garamond" w:hAnsi="Garamond"/>
          <w:sz w:val="16"/>
          <w:szCs w:val="16"/>
        </w:rPr>
        <w:t>op. cit.</w:t>
      </w:r>
    </w:p>
    <w:p w14:paraId="6DF89CF3" w14:textId="77777777" w:rsidR="00E85059" w:rsidRPr="00051DC6" w:rsidRDefault="00E85059" w:rsidP="001416CA">
      <w:pPr>
        <w:pStyle w:val="FootnoteText"/>
        <w:rPr>
          <w:lang w:val="en-US"/>
        </w:rPr>
      </w:pPr>
    </w:p>
  </w:footnote>
  <w:footnote w:id="59">
    <w:p w14:paraId="14881B9B" w14:textId="57582237" w:rsidR="00E85059" w:rsidRPr="00860A6E" w:rsidRDefault="00E85059" w:rsidP="00D14A91">
      <w:pPr>
        <w:pStyle w:val="FootnoteText"/>
        <w:rPr>
          <w:rFonts w:ascii="Garamond" w:hAnsi="Garamond"/>
          <w:sz w:val="16"/>
          <w:szCs w:val="16"/>
          <w:lang w:val="en-US"/>
        </w:rPr>
      </w:pPr>
      <w:r w:rsidRPr="00860A6E">
        <w:rPr>
          <w:rStyle w:val="FootnoteReference"/>
          <w:rFonts w:ascii="Garamond" w:hAnsi="Garamond"/>
          <w:sz w:val="16"/>
          <w:szCs w:val="16"/>
        </w:rPr>
        <w:footnoteRef/>
      </w:r>
      <w:r w:rsidRPr="00860A6E">
        <w:rPr>
          <w:rFonts w:ascii="Garamond" w:hAnsi="Garamond"/>
          <w:sz w:val="16"/>
          <w:szCs w:val="16"/>
        </w:rPr>
        <w:t xml:space="preserve"> Adapted from CRISL Ltd (2013) Lesotho Tourism Public Private Partnership Contract Management Consulting, pp60</w:t>
      </w:r>
    </w:p>
  </w:footnote>
  <w:footnote w:id="60">
    <w:p w14:paraId="52606600" w14:textId="77777777" w:rsidR="00E85059" w:rsidRPr="009956E6" w:rsidRDefault="00E85059" w:rsidP="009956E6">
      <w:pPr>
        <w:spacing w:before="0" w:after="0" w:line="240" w:lineRule="auto"/>
        <w:rPr>
          <w:rFonts w:ascii="Garamond" w:hAnsi="Garamond"/>
          <w:sz w:val="16"/>
          <w:szCs w:val="16"/>
        </w:rPr>
      </w:pPr>
      <w:r w:rsidRPr="009956E6">
        <w:rPr>
          <w:rStyle w:val="FootnoteReference"/>
          <w:rFonts w:ascii="Garamond" w:hAnsi="Garamond"/>
          <w:sz w:val="16"/>
          <w:szCs w:val="16"/>
        </w:rPr>
        <w:footnoteRef/>
      </w:r>
      <w:r w:rsidRPr="009956E6">
        <w:rPr>
          <w:rFonts w:ascii="Garamond" w:hAnsi="Garamond"/>
          <w:sz w:val="16"/>
          <w:szCs w:val="16"/>
        </w:rPr>
        <w:t xml:space="preserve"> Adapted from SANParks (Undated) Concessions operations manual, Revision 1</w:t>
      </w:r>
    </w:p>
  </w:footnote>
  <w:footnote w:id="61">
    <w:p w14:paraId="51CF6406" w14:textId="77777777" w:rsidR="00E85059" w:rsidRPr="009956E6" w:rsidRDefault="00E85059" w:rsidP="009956E6">
      <w:pPr>
        <w:spacing w:before="0" w:after="0" w:line="240" w:lineRule="auto"/>
        <w:rPr>
          <w:rFonts w:ascii="Garamond" w:hAnsi="Garamond"/>
          <w:sz w:val="16"/>
          <w:szCs w:val="16"/>
        </w:rPr>
      </w:pPr>
      <w:r w:rsidRPr="009956E6">
        <w:rPr>
          <w:rStyle w:val="FootnoteReference"/>
          <w:rFonts w:ascii="Garamond" w:hAnsi="Garamond"/>
          <w:sz w:val="16"/>
          <w:szCs w:val="16"/>
        </w:rPr>
        <w:footnoteRef/>
      </w:r>
      <w:r w:rsidRPr="009956E6">
        <w:rPr>
          <w:rFonts w:ascii="Garamond" w:hAnsi="Garamond"/>
          <w:sz w:val="16"/>
          <w:szCs w:val="16"/>
        </w:rPr>
        <w:t xml:space="preserve"> CRISL Ltd (2013) Lesotho Tourism Public Private Partnership Contract Management Consulting, pp31</w:t>
      </w:r>
    </w:p>
  </w:footnote>
  <w:footnote w:id="62">
    <w:p w14:paraId="10147DD6" w14:textId="711C0807" w:rsidR="00E85059" w:rsidRPr="00A47590" w:rsidRDefault="00E85059" w:rsidP="00A47590">
      <w:pPr>
        <w:spacing w:before="0" w:after="0" w:line="240" w:lineRule="auto"/>
        <w:rPr>
          <w:rFonts w:ascii="Garamond" w:hAnsi="Garamond" w:cs="Times New Roman"/>
          <w:sz w:val="16"/>
          <w:szCs w:val="16"/>
        </w:rPr>
      </w:pPr>
      <w:r w:rsidRPr="00A47590">
        <w:rPr>
          <w:rStyle w:val="FootnoteReference"/>
          <w:rFonts w:ascii="Garamond" w:hAnsi="Garamond"/>
          <w:sz w:val="16"/>
          <w:szCs w:val="16"/>
        </w:rPr>
        <w:footnoteRef/>
      </w:r>
      <w:r w:rsidRPr="00A47590">
        <w:rPr>
          <w:rFonts w:ascii="Garamond" w:hAnsi="Garamond"/>
          <w:sz w:val="16"/>
          <w:szCs w:val="16"/>
        </w:rPr>
        <w:t xml:space="preserve"> Wyman, M., Barborak, J. R., Inamdar, N., and Stein, T. (2011) Best practices for tourism concessions in protected areas: A review of the field, Forests, 2, 913-928, available at </w:t>
      </w:r>
      <w:hyperlink r:id="rId9" w:history="1">
        <w:r w:rsidRPr="00A47590">
          <w:rPr>
            <w:rStyle w:val="Hyperlink"/>
            <w:rFonts w:ascii="Garamond" w:hAnsi="Garamond" w:cs="Times New Roman"/>
            <w:sz w:val="16"/>
            <w:szCs w:val="16"/>
          </w:rPr>
          <w:t>www.mdpi.com/journal/forests</w:t>
        </w:r>
      </w:hyperlink>
    </w:p>
  </w:footnote>
  <w:footnote w:id="63">
    <w:p w14:paraId="7D2C461E" w14:textId="77777777" w:rsidR="00E85059" w:rsidRPr="0024756C" w:rsidRDefault="00E85059" w:rsidP="0062390B">
      <w:pPr>
        <w:pStyle w:val="FootnoteText"/>
        <w:rPr>
          <w:rFonts w:ascii="Garamond" w:hAnsi="Garamond"/>
          <w:sz w:val="16"/>
          <w:szCs w:val="16"/>
          <w:lang w:val="en-US"/>
        </w:rPr>
      </w:pPr>
      <w:r w:rsidRPr="0024756C">
        <w:rPr>
          <w:rStyle w:val="FootnoteReference"/>
          <w:rFonts w:ascii="Garamond" w:hAnsi="Garamond"/>
          <w:sz w:val="16"/>
          <w:szCs w:val="16"/>
        </w:rPr>
        <w:footnoteRef/>
      </w:r>
      <w:r w:rsidRPr="0024756C">
        <w:rPr>
          <w:rFonts w:ascii="Garamond" w:hAnsi="Garamond"/>
          <w:sz w:val="16"/>
          <w:szCs w:val="16"/>
        </w:rPr>
        <w:t xml:space="preserve"> </w:t>
      </w:r>
      <w:r w:rsidRPr="0024756C">
        <w:rPr>
          <w:rFonts w:ascii="Garamond" w:hAnsi="Garamond"/>
          <w:sz w:val="16"/>
          <w:szCs w:val="16"/>
          <w:lang w:val="en-US"/>
        </w:rPr>
        <w:t>SANParks (undated) Concession operational manual</w:t>
      </w:r>
    </w:p>
  </w:footnote>
  <w:footnote w:id="64">
    <w:p w14:paraId="268AE2C3" w14:textId="77777777" w:rsidR="00E85059" w:rsidRPr="0024756C" w:rsidRDefault="00E85059" w:rsidP="0062390B">
      <w:pPr>
        <w:pStyle w:val="FootnoteText"/>
        <w:rPr>
          <w:rFonts w:ascii="Garamond" w:hAnsi="Garamond"/>
          <w:sz w:val="16"/>
          <w:szCs w:val="16"/>
          <w:lang w:val="en-US"/>
        </w:rPr>
      </w:pPr>
      <w:r w:rsidRPr="0024756C">
        <w:rPr>
          <w:rStyle w:val="FootnoteReference"/>
          <w:rFonts w:ascii="Garamond" w:hAnsi="Garamond"/>
          <w:sz w:val="16"/>
          <w:szCs w:val="16"/>
        </w:rPr>
        <w:footnoteRef/>
      </w:r>
      <w:r w:rsidRPr="0024756C">
        <w:rPr>
          <w:rFonts w:ascii="Garamond" w:hAnsi="Garamond"/>
          <w:sz w:val="16"/>
          <w:szCs w:val="16"/>
        </w:rPr>
        <w:t xml:space="preserve"> CRISL Ltd (2013) Lesotho Tourism Public Private Partnership Contract Management Consulting, pp41</w:t>
      </w:r>
    </w:p>
  </w:footnote>
  <w:footnote w:id="65">
    <w:p w14:paraId="36B25BF7" w14:textId="77777777" w:rsidR="00E85059" w:rsidRPr="00F0174E" w:rsidRDefault="00E85059" w:rsidP="005F689B">
      <w:pPr>
        <w:pStyle w:val="FootnoteText"/>
        <w:rPr>
          <w:rFonts w:ascii="Garamond" w:hAnsi="Garamond"/>
          <w:sz w:val="16"/>
          <w:szCs w:val="16"/>
          <w:lang w:val="en-US"/>
        </w:rPr>
      </w:pPr>
      <w:r w:rsidRPr="00F0174E">
        <w:rPr>
          <w:rStyle w:val="FootnoteReference"/>
          <w:rFonts w:ascii="Garamond" w:hAnsi="Garamond"/>
          <w:sz w:val="16"/>
          <w:szCs w:val="16"/>
        </w:rPr>
        <w:footnoteRef/>
      </w:r>
      <w:r w:rsidRPr="00F0174E">
        <w:rPr>
          <w:rFonts w:ascii="Garamond" w:hAnsi="Garamond"/>
          <w:sz w:val="16"/>
          <w:szCs w:val="16"/>
        </w:rPr>
        <w:t xml:space="preserve"> RETOSA (2014) Southern Africa Tourism Investment Handbook’ , accessible from http://www.cde.int/sites/default/files/documents/tourism_investment_handbook.pdf</w:t>
      </w:r>
    </w:p>
  </w:footnote>
  <w:footnote w:id="66">
    <w:p w14:paraId="659CA25B"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http://www.peaceparks.org/story.php?pid=1318&amp;mid=1332</w:t>
      </w:r>
    </w:p>
  </w:footnote>
  <w:footnote w:id="67">
    <w:p w14:paraId="450D64C2"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lang w:val="en-US"/>
        </w:rPr>
        <w:t>Casimiro, R. and Spenceley, A. (2012) Tourism concessions in protected areas in Mozambique: Manual for the private sector, Report USAID SPEED, 19 April 2012</w:t>
      </w:r>
    </w:p>
  </w:footnote>
  <w:footnote w:id="68">
    <w:p w14:paraId="2DDF4F4D"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The Area occupation/Site land fee, the highest of all (1000 MZM / ha), is also part of the Decree’s list of legal fees.</w:t>
      </w:r>
    </w:p>
  </w:footnote>
  <w:footnote w:id="69">
    <w:p w14:paraId="6AF21B3B"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As long as organised in local management committees (Ministerial Diploma 93/2005).</w:t>
      </w:r>
    </w:p>
  </w:footnote>
  <w:footnote w:id="70">
    <w:p w14:paraId="7CCA8FD3"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Casimiro and Spenceley, 2012</w:t>
      </w:r>
    </w:p>
  </w:footnote>
  <w:footnote w:id="71">
    <w:p w14:paraId="39950DBF"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Booth, V. (2012) Intermediate working document on the contribution of tourism hunting to the economy in Mozambique, Report to the AFD</w:t>
      </w:r>
    </w:p>
  </w:footnote>
  <w:footnote w:id="72">
    <w:p w14:paraId="263D2A49" w14:textId="77777777" w:rsidR="00E85059" w:rsidRPr="00352F1B" w:rsidRDefault="00E85059" w:rsidP="00467268">
      <w:pPr>
        <w:pStyle w:val="FootnoteText"/>
        <w:rPr>
          <w:lang w:val="en-US"/>
        </w:rPr>
      </w:pPr>
      <w:r w:rsidRPr="009F37BC">
        <w:rPr>
          <w:rStyle w:val="FootnoteReference"/>
          <w:rFonts w:ascii="Garamond" w:hAnsi="Garamond"/>
          <w:sz w:val="16"/>
          <w:szCs w:val="16"/>
        </w:rPr>
        <w:footnoteRef/>
      </w:r>
      <w:r w:rsidRPr="009F37BC">
        <w:rPr>
          <w:rFonts w:ascii="Garamond" w:hAnsi="Garamond"/>
          <w:sz w:val="16"/>
          <w:szCs w:val="16"/>
        </w:rPr>
        <w:t xml:space="preserve"> Casimiro and Spenceley, 2012</w:t>
      </w:r>
    </w:p>
  </w:footnote>
  <w:footnote w:id="73">
    <w:p w14:paraId="6BC857DB" w14:textId="74CCF66A" w:rsidR="00E85059" w:rsidRPr="00E010EA" w:rsidRDefault="00E85059">
      <w:pPr>
        <w:pStyle w:val="FootnoteText"/>
        <w:rPr>
          <w:sz w:val="16"/>
          <w:szCs w:val="16"/>
          <w:lang w:val="en-US"/>
        </w:rPr>
      </w:pPr>
      <w:r w:rsidRPr="00E010EA">
        <w:rPr>
          <w:rStyle w:val="FootnoteReference"/>
          <w:sz w:val="16"/>
          <w:szCs w:val="16"/>
        </w:rPr>
        <w:footnoteRef/>
      </w:r>
      <w:r w:rsidRPr="00E010EA">
        <w:rPr>
          <w:sz w:val="16"/>
          <w:szCs w:val="16"/>
        </w:rPr>
        <w:t xml:space="preserve"> </w:t>
      </w:r>
      <w:r w:rsidRPr="00E010EA">
        <w:rPr>
          <w:rFonts w:ascii="Garamond" w:hAnsi="Garamond"/>
          <w:sz w:val="16"/>
          <w:szCs w:val="16"/>
        </w:rPr>
        <w:t>National Treasury (2004) op. cit.</w:t>
      </w:r>
    </w:p>
  </w:footnote>
  <w:footnote w:id="74">
    <w:p w14:paraId="6CB72B4F" w14:textId="77777777" w:rsidR="00E85059" w:rsidRPr="00E010EA" w:rsidRDefault="00E85059" w:rsidP="009B0739">
      <w:pPr>
        <w:pStyle w:val="FootnoteText"/>
        <w:rPr>
          <w:rFonts w:ascii="Garamond" w:hAnsi="Garamond"/>
          <w:sz w:val="16"/>
          <w:szCs w:val="16"/>
          <w:lang w:val="fr-FR"/>
        </w:rPr>
      </w:pPr>
      <w:r w:rsidRPr="00E010EA">
        <w:rPr>
          <w:rStyle w:val="FootnoteReference"/>
          <w:rFonts w:ascii="Garamond" w:hAnsi="Garamond"/>
          <w:sz w:val="16"/>
          <w:szCs w:val="16"/>
        </w:rPr>
        <w:footnoteRef/>
      </w:r>
      <w:r w:rsidRPr="00E010EA">
        <w:rPr>
          <w:rFonts w:ascii="Garamond" w:hAnsi="Garamond"/>
          <w:sz w:val="16"/>
          <w:szCs w:val="16"/>
          <w:lang w:val="fr-FR"/>
        </w:rPr>
        <w:t xml:space="preserve"> </w:t>
      </w:r>
      <w:r w:rsidRPr="00E010EA">
        <w:rPr>
          <w:rFonts w:ascii="Garamond" w:hAnsi="Garamond"/>
          <w:sz w:val="16"/>
          <w:szCs w:val="16"/>
          <w:lang w:val="en-US"/>
        </w:rPr>
        <w:t>Varghese, G. (2008) Public-private partnerships in South African National Parks, In Spenceley, A. (ed) Responsible tourism: critical issues for conservation and development, Earthscan, pp69-83</w:t>
      </w:r>
    </w:p>
  </w:footnote>
  <w:footnote w:id="75">
    <w:p w14:paraId="3D970240" w14:textId="77777777" w:rsidR="00E85059" w:rsidRPr="00E010EA" w:rsidRDefault="00E85059" w:rsidP="009B0739">
      <w:pPr>
        <w:pStyle w:val="FootnoteText"/>
        <w:rPr>
          <w:sz w:val="16"/>
          <w:szCs w:val="16"/>
          <w:lang w:val="en-US"/>
        </w:rPr>
      </w:pPr>
      <w:r w:rsidRPr="00E010EA">
        <w:rPr>
          <w:rStyle w:val="FootnoteReference"/>
          <w:rFonts w:ascii="Garamond" w:hAnsi="Garamond"/>
          <w:sz w:val="16"/>
          <w:szCs w:val="16"/>
        </w:rPr>
        <w:footnoteRef/>
      </w:r>
      <w:r w:rsidRPr="00E010EA">
        <w:rPr>
          <w:rFonts w:ascii="Garamond" w:hAnsi="Garamond"/>
          <w:sz w:val="16"/>
          <w:szCs w:val="16"/>
        </w:rPr>
        <w:t xml:space="preserve"> </w:t>
      </w:r>
      <w:hyperlink r:id="rId10" w:history="1">
        <w:r w:rsidRPr="00E010EA">
          <w:rPr>
            <w:rStyle w:val="Hyperlink"/>
            <w:rFonts w:ascii="Garamond" w:hAnsi="Garamond"/>
            <w:sz w:val="16"/>
            <w:szCs w:val="16"/>
          </w:rPr>
          <w:t>http://www.krugerpark.co.za/krugerpark-times-e-1-hunting-help-protect-wildlife-south-africa-25045.html</w:t>
        </w:r>
      </w:hyperlink>
    </w:p>
  </w:footnote>
  <w:footnote w:id="76">
    <w:p w14:paraId="421CA6FA" w14:textId="77777777" w:rsidR="00E85059" w:rsidRPr="00E010EA" w:rsidRDefault="00E85059" w:rsidP="009B0739">
      <w:pPr>
        <w:pStyle w:val="FootnoteText"/>
        <w:rPr>
          <w:rFonts w:ascii="Garamond" w:hAnsi="Garamond"/>
          <w:sz w:val="16"/>
          <w:szCs w:val="16"/>
          <w:lang w:val="en-US"/>
        </w:rPr>
      </w:pPr>
      <w:r w:rsidRPr="00E010EA">
        <w:rPr>
          <w:rStyle w:val="FootnoteReference"/>
          <w:sz w:val="16"/>
          <w:szCs w:val="16"/>
        </w:rPr>
        <w:footnoteRef/>
      </w:r>
      <w:r w:rsidRPr="00E010EA">
        <w:rPr>
          <w:sz w:val="16"/>
          <w:szCs w:val="16"/>
        </w:rPr>
        <w:t xml:space="preserve"> </w:t>
      </w:r>
      <w:r w:rsidRPr="00E010EA">
        <w:rPr>
          <w:rFonts w:ascii="Garamond" w:hAnsi="Garamond"/>
          <w:sz w:val="16"/>
          <w:szCs w:val="16"/>
        </w:rPr>
        <w:t>National Treasury (2004) Public Private Partnership Manual: National Treasury PPP Practice notes issued in terms of the Public Finance Management Act, National Treasury PPP unit</w:t>
      </w:r>
    </w:p>
  </w:footnote>
  <w:footnote w:id="77">
    <w:p w14:paraId="603E8F39" w14:textId="640B17F4" w:rsidR="00E85059" w:rsidRPr="00231EFF" w:rsidRDefault="00E85059" w:rsidP="009B0739">
      <w:pPr>
        <w:pStyle w:val="FootnoteText"/>
        <w:rPr>
          <w:rFonts w:ascii="Garamond" w:hAnsi="Garamond"/>
          <w:lang w:val="en-US"/>
        </w:rPr>
      </w:pPr>
      <w:r w:rsidRPr="00E010EA">
        <w:rPr>
          <w:rStyle w:val="FootnoteReference"/>
          <w:rFonts w:ascii="Garamond" w:hAnsi="Garamond"/>
          <w:sz w:val="16"/>
          <w:szCs w:val="16"/>
        </w:rPr>
        <w:footnoteRef/>
      </w:r>
      <w:r w:rsidRPr="00E010EA">
        <w:rPr>
          <w:rFonts w:ascii="Garamond" w:hAnsi="Garamond"/>
          <w:sz w:val="16"/>
          <w:szCs w:val="16"/>
        </w:rPr>
        <w:t xml:space="preserve"> National Treasury (2004) </w:t>
      </w:r>
      <w:r w:rsidRPr="00E010EA">
        <w:rPr>
          <w:rFonts w:ascii="Garamond" w:hAnsi="Garamond"/>
          <w:sz w:val="16"/>
          <w:szCs w:val="16"/>
          <w:lang w:val="en-US"/>
        </w:rPr>
        <w:t>op. cit</w:t>
      </w:r>
    </w:p>
  </w:footnote>
  <w:footnote w:id="78">
    <w:p w14:paraId="1E189090" w14:textId="77777777" w:rsidR="00415DD1" w:rsidRPr="00415DD1" w:rsidRDefault="00415DD1" w:rsidP="00415DD1">
      <w:pPr>
        <w:pStyle w:val="FootnoteText"/>
        <w:rPr>
          <w:rFonts w:ascii="Garamond" w:hAnsi="Garamond"/>
          <w:sz w:val="16"/>
          <w:szCs w:val="16"/>
          <w:lang w:val="en-US"/>
        </w:rPr>
      </w:pPr>
      <w:r w:rsidRPr="00415DD1">
        <w:rPr>
          <w:rStyle w:val="FootnoteReference"/>
          <w:rFonts w:ascii="Garamond" w:hAnsi="Garamond"/>
          <w:sz w:val="16"/>
          <w:szCs w:val="16"/>
        </w:rPr>
        <w:footnoteRef/>
      </w:r>
      <w:r w:rsidRPr="00415DD1">
        <w:rPr>
          <w:rFonts w:ascii="Garamond" w:hAnsi="Garamond"/>
          <w:sz w:val="16"/>
          <w:szCs w:val="16"/>
        </w:rPr>
        <w:t xml:space="preserve"> http://www.property24.co.zw/4-bedroom-properties-to-rent-in-harare-c1729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7C2671" w14:textId="594929E8" w:rsidR="00BF427C" w:rsidRDefault="00500A2A">
    <w:pPr>
      <w:pStyle w:val="Header"/>
    </w:pPr>
    <w:r>
      <w:rPr>
        <w:noProof/>
        <w:lang w:eastAsia="en-US"/>
      </w:rPr>
      <w:pict w14:anchorId="4FE32D2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65.6pt;height:70.7pt;rotation:315;z-index:-251654144;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42A2D7" w14:textId="649D4508" w:rsidR="00E85059" w:rsidRDefault="00500A2A">
    <w:pPr>
      <w:pStyle w:val="Header"/>
    </w:pPr>
    <w:r>
      <w:rPr>
        <w:noProof/>
        <w:lang w:eastAsia="en-US"/>
      </w:rPr>
      <w:pict w14:anchorId="636995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65.6pt;height:70.7pt;rotation:315;z-index:-251656192;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r w:rsidR="00E85059">
      <w:rPr>
        <w:noProof/>
        <w:lang w:val="en-US" w:eastAsia="en-US"/>
      </w:rPr>
      <mc:AlternateContent>
        <mc:Choice Requires="wps">
          <w:drawing>
            <wp:anchor distT="0" distB="0" distL="114300" distR="114300" simplePos="0" relativeHeight="251658240" behindDoc="0" locked="0" layoutInCell="0" allowOverlap="1" wp14:anchorId="484170CE" wp14:editId="1B9D92F8">
              <wp:simplePos x="0" y="0"/>
              <wp:positionH relativeFrom="margin">
                <wp:align>left</wp:align>
              </wp:positionH>
              <wp:positionV relativeFrom="page">
                <wp:posOffset>308610</wp:posOffset>
              </wp:positionV>
              <wp:extent cx="5731510" cy="297815"/>
              <wp:effectExtent l="0" t="0" r="0" b="698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86E" w14:textId="0C8A7621" w:rsidR="00E85059" w:rsidRPr="008D6651" w:rsidRDefault="00E85059" w:rsidP="00D61F4A">
                          <w:pPr>
                            <w:spacing w:after="0" w:line="240" w:lineRule="auto"/>
                            <w:jc w:val="center"/>
                            <w:rPr>
                              <w:i/>
                              <w:color w:val="76923C"/>
                            </w:rPr>
                          </w:pPr>
                          <w:r>
                            <w:rPr>
                              <w:i/>
                              <w:color w:val="76923C"/>
                            </w:rPr>
                            <w:t>Tourism concession guidelines for tourism concessions in TFCAs</w:t>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0;margin-top:24.3pt;width:451.3pt;height:23.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Wu7QCAAC1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RgJ0kGPHtho0K0cUejqM/Q6B7f7HhzNCHbos+Oq+ztZfdVIyGVDxJbdKCWHhhEK+YW2sv7ZVdsR&#10;nWsLshk+SApxyM5IBzTWqrPFg3IgQIc+PZ56Y3OpwJjML8MEEkIVnEXZPA0TF4Lkx9u90uYdkx2y&#10;iwIr6L1DJ/s7bWw2JD+62GBClrxtXf9b8cwAjpMFYsNVe2azcO38kQXZOl2nsRdHs7UXB5R6N+Uy&#10;9mZlOE9Wl6vlchX+tHHDOG84pUzYMEdphfGfte4g8kkUJ3Fp2XJq4WxKWm03y1ahPQFpl+47FOTM&#10;zX+ehisCcHlBKYzi4DbKvHKWzr24jhMvmwepF4TZbTYL4ixelc8p3XHB/p0SGgqcJVEyiem33AL3&#10;veZG8o4bGB4t7wqcnpxIbiW4FtS11hDeTuuzUtj0n0oB7T422gnWanRSqxk3I6BY4W4kfQTpKgnK&#10;AhHCxINFI9V3jAaYHgXW33ZEMYza9wLkn4VxbMeN28BCnVs3RysRFUAUuDIKo2mzNNNw2vWKbxuI&#10;cXxqN/BYSu50/JTP4YnBbHB0DnPMDp/zvfN6mraLXwAAAP//AwBQSwMEFAAGAAgAAAAhAMtlIlnb&#10;AAAABgEAAA8AAABkcnMvZG93bnJldi54bWxMj8FOwzAQRO9I/IO1SNyoTaFRCHGqqqIHBBdKubvx&#10;kkTY6yh22tCv73Kit1nNauZNuZy8EwccYhdIw/1MgUCqg+2o0bD73NzlIGIyZI0LhBp+McKyur4q&#10;TWHDkT7wsE2N4BCKhdHQptQXUsa6RW/iLPRI7H2HwZvE59BIO5gjh3sn50pl0puOuKE1Pa5brH+2&#10;o9fwMqqdf08PFF7fZJPTyXXZ10br25tp9Qwi4ZT+n+EPn9GhYqZ9GMlG4TTwkKThMc9AsPuk5iz2&#10;LBYLkFUpL/GrMwAAAP//AwBQSwECLQAUAAYACAAAACEA5JnDwPsAAADhAQAAEwAAAAAAAAAAAAAA&#10;AAAAAAAAW0NvbnRlbnRfVHlwZXNdLnhtbFBLAQItABQABgAIAAAAIQAjsmrh1wAAAJQBAAALAAAA&#10;AAAAAAAAAAAAACwBAABfcmVscy8ucmVsc1BLAQItABQABgAIAAAAIQC0oBa7tAIAALUFAAAOAAAA&#10;AAAAAAAAAAAAACwCAABkcnMvZTJvRG9jLnhtbFBLAQItABQABgAIAAAAIQDLZSJZ2wAAAAYBAAAP&#10;AAAAAAAAAAAAAAAAAAwFAABkcnMvZG93bnJldi54bWxQSwUGAAAAAAQABADzAAAAFAYAAAAA&#10;" o:allowincell="f" filled="f" stroked="f">
              <v:textbox style="mso-fit-shape-to-text:t" inset=",0,,0">
                <w:txbxContent>
                  <w:p w14:paraId="6E59B86E" w14:textId="0C8A7621" w:rsidR="00E85059" w:rsidRPr="008D6651" w:rsidRDefault="00E85059" w:rsidP="00D61F4A">
                    <w:pPr>
                      <w:spacing w:after="0" w:line="240" w:lineRule="auto"/>
                      <w:jc w:val="center"/>
                      <w:rPr>
                        <w:i/>
                        <w:color w:val="76923C"/>
                      </w:rPr>
                    </w:pPr>
                    <w:r>
                      <w:rPr>
                        <w:i/>
                        <w:color w:val="76923C"/>
                      </w:rPr>
                      <w:t>Tourism concession guidelines for tourism concessions in TFCAs</w:t>
                    </w:r>
                  </w:p>
                </w:txbxContent>
              </v:textbox>
              <w10:wrap anchorx="margin" anchory="page"/>
            </v:shape>
          </w:pict>
        </mc:Fallback>
      </mc:AlternateContent>
    </w:r>
    <w:r w:rsidR="00E85059">
      <w:rPr>
        <w:noProof/>
        <w:lang w:val="en-US" w:eastAsia="en-US"/>
      </w:rPr>
      <mc:AlternateContent>
        <mc:Choice Requires="wps">
          <w:drawing>
            <wp:anchor distT="0" distB="0" distL="114300" distR="114300" simplePos="0" relativeHeight="251657216" behindDoc="0" locked="0" layoutInCell="0" allowOverlap="1" wp14:anchorId="0FCBC4A8" wp14:editId="1744152F">
              <wp:simplePos x="0" y="0"/>
              <wp:positionH relativeFrom="page">
                <wp:align>left</wp:align>
              </wp:positionH>
              <wp:positionV relativeFrom="page">
                <wp:posOffset>308610</wp:posOffset>
              </wp:positionV>
              <wp:extent cx="914400" cy="297815"/>
              <wp:effectExtent l="0" t="0" r="0" b="698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815"/>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6C24" w14:textId="77777777" w:rsidR="00E85059" w:rsidRPr="008D6651" w:rsidRDefault="00E85059" w:rsidP="008D6651">
                          <w:pPr>
                            <w:shd w:val="clear" w:color="auto" w:fill="EAF1DD"/>
                            <w:spacing w:after="0" w:line="240" w:lineRule="auto"/>
                            <w:jc w:val="right"/>
                            <w:rPr>
                              <w:color w:val="4F6228"/>
                            </w:rPr>
                          </w:pPr>
                          <w:r w:rsidRPr="008D6651">
                            <w:rPr>
                              <w:color w:val="4F6228"/>
                            </w:rPr>
                            <w:fldChar w:fldCharType="begin"/>
                          </w:r>
                          <w:r w:rsidRPr="008D6651">
                            <w:rPr>
                              <w:color w:val="4F6228"/>
                            </w:rPr>
                            <w:instrText xml:space="preserve"> PAGE   \* MERGEFORMAT </w:instrText>
                          </w:r>
                          <w:r w:rsidRPr="008D6651">
                            <w:rPr>
                              <w:color w:val="4F6228"/>
                            </w:rPr>
                            <w:fldChar w:fldCharType="separate"/>
                          </w:r>
                          <w:r w:rsidR="00500A2A">
                            <w:rPr>
                              <w:noProof/>
                              <w:color w:val="4F6228"/>
                            </w:rPr>
                            <w:t>49</w:t>
                          </w:r>
                          <w:r w:rsidRPr="008D6651">
                            <w:rPr>
                              <w:color w:val="4F6228"/>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24.3pt;width:1in;height:23.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DtoMCAAAQBQAADgAAAGRycy9lMm9Eb2MueG1srFRbb9sgFH6ftP+AeE99mdPGVp0qaZppUneR&#10;2v0AAjhGw8CAxO6q/fcdcJK2u0jTtDw4cDh85/J9h8uroZNoz60TWtU4O0sx4opqJtS2xp/v15MZ&#10;Rs4TxYjUitf4gTt8NX/96rI3Fc91qyXjFgGIclVvatx6b6okcbTlHXFn2nAFh422HfGwtduEWdID&#10;eieTPE3Pk15bZqym3DmwrsZDPI/4TcOp/9g0jnskawy5+fi18bsJ32R+SaqtJaYV9JAG+YcsOiIU&#10;BD1BrYgnaGfFL1CdoFY73fgzqrtEN42gPNYA1WTpT9XctcTwWAs0x5lTm9z/g6Uf9p8sEqzG+RuM&#10;FOmAo3s+eLTUAypDe3rjKvC6M+DnBzADzbFUZ241/eKQ0tctUVu+sFb3LScM0svCzeTZ1RHHBZBN&#10;/14zCEN2XkegobFd6B10AwE60PRwoiakQsFYZkWRwgmFo7y8mGXTGIFUx8vGOv+W6w6FRY0tMB/B&#10;yf7W+ZAMqY4uIZbTUrC1kDJu7HZzLS3aE1DJzWKdrVYH9BduUgVnpcO1EXG0QI4QI5yFbCPrj2WW&#10;F+kyLyfr89nFpGiK6aS8SGeTNCuX5XlalMVq/T0kmBVVKxjj6lYoflRgVvwdw4dZGLUTNYh66NU0&#10;n44M/bHINP5+V2QnPAykFF2NZycnUgVebxSDsknliZDjOnmZfuwy9OD4H7sSVRCIHyXgh80Q9RYl&#10;EhSy0ewBZGE10AYMw2MCi1bbbxj1MJg1dl93xHKM5DsF0opKgEmOG/C3z62bo5UoChA1pt5iNG6u&#10;/Tj3O2PFtoUYRxkvQIhrEUXylM9BvjB2sZrDExHm+vk+ej09ZPMfAAAA//8DAFBLAwQUAAYACAAA&#10;ACEAkpjinN8AAAAGAQAADwAAAGRycy9kb3ducmV2LnhtbEyPT0vDQBDF74LfYRnBi7QbNS01ZlJE&#10;8E9BhLSFXjfZMRvMzobsto1++m5Pepz3Hu/9Jl+OthMHGnzrGOF2moAgrp1uuUHYbl4mCxA+KNaq&#10;c0wIP+RhWVxe5CrT7sglHdahEbGEfaYQTAh9JqWvDVnlp64njt6XG6wK8RwaqQd1jOW2k3dJMpdW&#10;tRwXjOrp2VD9vd5bBH43b/X9ql29fnJVlpvf3c1HtUO8vhqfHkEEGsNfGM74ER2KyFS5PWsvOoT4&#10;SEBIF3MQZzdNo1AhPMxmIItc/scvTgAAAP//AwBQSwECLQAUAAYACAAAACEA5JnDwPsAAADhAQAA&#10;EwAAAAAAAAAAAAAAAAAAAAAAW0NvbnRlbnRfVHlwZXNdLnhtbFBLAQItABQABgAIAAAAIQAjsmrh&#10;1wAAAJQBAAALAAAAAAAAAAAAAAAAACwBAABfcmVscy8ucmVsc1BLAQItABQABgAIAAAAIQBr0oO2&#10;gwIAABAFAAAOAAAAAAAAAAAAAAAAACwCAABkcnMvZTJvRG9jLnhtbFBLAQItABQABgAIAAAAIQCS&#10;mOKc3wAAAAYBAAAPAAAAAAAAAAAAAAAAANsEAABkcnMvZG93bnJldi54bWxQSwUGAAAAAAQABADz&#10;AAAA5wUAAAAA&#10;" o:allowincell="f" fillcolor="#eaf1dd" stroked="f">
              <v:textbox style="mso-fit-shape-to-text:t" inset=",0,,0">
                <w:txbxContent>
                  <w:p w14:paraId="7ABD6C24" w14:textId="77777777" w:rsidR="00E85059" w:rsidRPr="008D6651" w:rsidRDefault="00E85059" w:rsidP="008D6651">
                    <w:pPr>
                      <w:shd w:val="clear" w:color="auto" w:fill="EAF1DD"/>
                      <w:spacing w:after="0" w:line="240" w:lineRule="auto"/>
                      <w:jc w:val="right"/>
                      <w:rPr>
                        <w:color w:val="4F6228"/>
                      </w:rPr>
                    </w:pPr>
                    <w:r w:rsidRPr="008D6651">
                      <w:rPr>
                        <w:color w:val="4F6228"/>
                      </w:rPr>
                      <w:fldChar w:fldCharType="begin"/>
                    </w:r>
                    <w:r w:rsidRPr="008D6651">
                      <w:rPr>
                        <w:color w:val="4F6228"/>
                      </w:rPr>
                      <w:instrText xml:space="preserve"> PAGE   \* MERGEFORMAT </w:instrText>
                    </w:r>
                    <w:r w:rsidRPr="008D6651">
                      <w:rPr>
                        <w:color w:val="4F6228"/>
                      </w:rPr>
                      <w:fldChar w:fldCharType="separate"/>
                    </w:r>
                    <w:r w:rsidR="00BF427C">
                      <w:rPr>
                        <w:noProof/>
                        <w:color w:val="4F6228"/>
                      </w:rPr>
                      <w:t>4</w:t>
                    </w:r>
                    <w:r w:rsidRPr="008D6651">
                      <w:rPr>
                        <w:color w:val="4F6228"/>
                      </w:rPr>
                      <w:fldChar w:fldCharType="end"/>
                    </w:r>
                  </w:p>
                </w:txbxContent>
              </v:textbox>
              <w10:wrap anchorx="page" anchory="page"/>
            </v:shape>
          </w:pict>
        </mc:Fallback>
      </mc:AlternateContent>
    </w:r>
    <w:r w:rsidR="00E85059">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21797D" w14:textId="54CE7891" w:rsidR="00BF427C" w:rsidRDefault="00500A2A">
    <w:pPr>
      <w:pStyle w:val="Header"/>
    </w:pPr>
    <w:r>
      <w:rPr>
        <w:noProof/>
        <w:lang w:eastAsia="en-US"/>
      </w:rPr>
      <w:pict w14:anchorId="6CB41D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65.6pt;height:70.7pt;rotation:315;z-index:-251652096;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B1"/>
    <w:multiLevelType w:val="hybridMultilevel"/>
    <w:tmpl w:val="C65AE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82205"/>
    <w:multiLevelType w:val="hybridMultilevel"/>
    <w:tmpl w:val="B612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8226E"/>
    <w:multiLevelType w:val="hybridMultilevel"/>
    <w:tmpl w:val="1B5C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47EDE"/>
    <w:multiLevelType w:val="hybridMultilevel"/>
    <w:tmpl w:val="9D5C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25970"/>
    <w:multiLevelType w:val="hybridMultilevel"/>
    <w:tmpl w:val="E2543A6A"/>
    <w:lvl w:ilvl="0" w:tplc="04090001">
      <w:start w:val="1"/>
      <w:numFmt w:val="bullet"/>
      <w:lvlText w:val=""/>
      <w:lvlJc w:val="left"/>
      <w:pPr>
        <w:ind w:left="5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99B2A6C"/>
    <w:multiLevelType w:val="hybridMultilevel"/>
    <w:tmpl w:val="E55C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C74FCD"/>
    <w:multiLevelType w:val="hybridMultilevel"/>
    <w:tmpl w:val="8890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C2772"/>
    <w:multiLevelType w:val="hybridMultilevel"/>
    <w:tmpl w:val="D672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23DCD"/>
    <w:multiLevelType w:val="hybridMultilevel"/>
    <w:tmpl w:val="25F2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11247"/>
    <w:multiLevelType w:val="hybridMultilevel"/>
    <w:tmpl w:val="C1DE1A56"/>
    <w:lvl w:ilvl="0" w:tplc="603AFAFC">
      <w:start w:val="1"/>
      <w:numFmt w:val="decimal"/>
      <w:pStyle w:val="NumberedParas"/>
      <w:lvlText w:val="%1."/>
      <w:lvlJc w:val="left"/>
      <w:pPr>
        <w:ind w:left="720" w:hanging="360"/>
      </w:pPr>
      <w:rPr>
        <w:rFonts w:ascii="Times New Roman" w:hAnsi="Times New Roman" w:cs="Times New Roman" w:hint="default"/>
        <w:b w:val="0"/>
        <w:i w:val="0"/>
        <w:caps w:val="0"/>
        <w:strike w:val="0"/>
        <w:dstrike w:val="0"/>
        <w:outline w:val="0"/>
        <w:shadow w:val="0"/>
        <w:emboss w:val="0"/>
        <w:imprint w:val="0"/>
        <w:vanish w:val="0"/>
        <w:color w:val="auto"/>
        <w:sz w:val="23"/>
        <w:vertAlign w:val="baselin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nsid w:val="100B2AF7"/>
    <w:multiLevelType w:val="hybridMultilevel"/>
    <w:tmpl w:val="1E4A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A558AA"/>
    <w:multiLevelType w:val="hybridMultilevel"/>
    <w:tmpl w:val="67BE4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09273E"/>
    <w:multiLevelType w:val="hybridMultilevel"/>
    <w:tmpl w:val="6FAED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7A5B1F"/>
    <w:multiLevelType w:val="hybridMultilevel"/>
    <w:tmpl w:val="D918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886CC1"/>
    <w:multiLevelType w:val="hybridMultilevel"/>
    <w:tmpl w:val="112A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051AA7"/>
    <w:multiLevelType w:val="hybridMultilevel"/>
    <w:tmpl w:val="3E84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63E39"/>
    <w:multiLevelType w:val="hybridMultilevel"/>
    <w:tmpl w:val="B2D66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2B7BBC"/>
    <w:multiLevelType w:val="hybridMultilevel"/>
    <w:tmpl w:val="73B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AC4D19"/>
    <w:multiLevelType w:val="hybridMultilevel"/>
    <w:tmpl w:val="EC50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D3085"/>
    <w:multiLevelType w:val="hybridMultilevel"/>
    <w:tmpl w:val="356A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55535"/>
    <w:multiLevelType w:val="hybridMultilevel"/>
    <w:tmpl w:val="8A0E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D65255"/>
    <w:multiLevelType w:val="hybridMultilevel"/>
    <w:tmpl w:val="F9F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E22C39"/>
    <w:multiLevelType w:val="hybridMultilevel"/>
    <w:tmpl w:val="8676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F423B4"/>
    <w:multiLevelType w:val="hybridMultilevel"/>
    <w:tmpl w:val="BE82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CA055D"/>
    <w:multiLevelType w:val="hybridMultilevel"/>
    <w:tmpl w:val="C570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B7C85"/>
    <w:multiLevelType w:val="multilevel"/>
    <w:tmpl w:val="7728A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A374364"/>
    <w:multiLevelType w:val="hybridMultilevel"/>
    <w:tmpl w:val="4C6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8603C3"/>
    <w:multiLevelType w:val="hybridMultilevel"/>
    <w:tmpl w:val="08B20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403781"/>
    <w:multiLevelType w:val="hybridMultilevel"/>
    <w:tmpl w:val="0F7A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6A781F"/>
    <w:multiLevelType w:val="hybridMultilevel"/>
    <w:tmpl w:val="0D0A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B655DD"/>
    <w:multiLevelType w:val="hybridMultilevel"/>
    <w:tmpl w:val="79820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415AFF"/>
    <w:multiLevelType w:val="hybridMultilevel"/>
    <w:tmpl w:val="6CD2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E83A73"/>
    <w:multiLevelType w:val="hybridMultilevel"/>
    <w:tmpl w:val="1E3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340ACA"/>
    <w:multiLevelType w:val="hybridMultilevel"/>
    <w:tmpl w:val="1BBE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044A5D"/>
    <w:multiLevelType w:val="multilevel"/>
    <w:tmpl w:val="4F247C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45EE03F4"/>
    <w:multiLevelType w:val="hybridMultilevel"/>
    <w:tmpl w:val="C7C695C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46C650D5"/>
    <w:multiLevelType w:val="hybridMultilevel"/>
    <w:tmpl w:val="A02661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E21DC"/>
    <w:multiLevelType w:val="hybridMultilevel"/>
    <w:tmpl w:val="7D6E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5A47C2"/>
    <w:multiLevelType w:val="hybridMultilevel"/>
    <w:tmpl w:val="610A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6901DC"/>
    <w:multiLevelType w:val="hybridMultilevel"/>
    <w:tmpl w:val="E9E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490436"/>
    <w:multiLevelType w:val="hybridMultilevel"/>
    <w:tmpl w:val="74FC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CC2FC5"/>
    <w:multiLevelType w:val="hybridMultilevel"/>
    <w:tmpl w:val="AC1E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FC08C9"/>
    <w:multiLevelType w:val="hybridMultilevel"/>
    <w:tmpl w:val="91A6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876B11"/>
    <w:multiLevelType w:val="hybridMultilevel"/>
    <w:tmpl w:val="7F3A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8C224D"/>
    <w:multiLevelType w:val="hybridMultilevel"/>
    <w:tmpl w:val="3B78C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1F26752"/>
    <w:multiLevelType w:val="hybridMultilevel"/>
    <w:tmpl w:val="0924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F95E84"/>
    <w:multiLevelType w:val="hybridMultilevel"/>
    <w:tmpl w:val="7DCC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667385"/>
    <w:multiLevelType w:val="hybridMultilevel"/>
    <w:tmpl w:val="3248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7C3F59"/>
    <w:multiLevelType w:val="hybridMultilevel"/>
    <w:tmpl w:val="D63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99410F"/>
    <w:multiLevelType w:val="hybridMultilevel"/>
    <w:tmpl w:val="1DE41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586B474F"/>
    <w:multiLevelType w:val="hybridMultilevel"/>
    <w:tmpl w:val="D7C8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6B02F3"/>
    <w:multiLevelType w:val="hybridMultilevel"/>
    <w:tmpl w:val="8A0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925586"/>
    <w:multiLevelType w:val="hybridMultilevel"/>
    <w:tmpl w:val="593E0A3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370471"/>
    <w:multiLevelType w:val="hybridMultilevel"/>
    <w:tmpl w:val="6CCEAB62"/>
    <w:lvl w:ilvl="0" w:tplc="DAA0A578">
      <w:numFmt w:val="bullet"/>
      <w:lvlText w:val="-"/>
      <w:lvlJc w:val="left"/>
      <w:pPr>
        <w:ind w:left="360" w:hanging="360"/>
      </w:pPr>
      <w:rPr>
        <w:rFonts w:ascii="Calibri" w:eastAsia="ＭＳ 明朝"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FA8696F"/>
    <w:multiLevelType w:val="hybridMultilevel"/>
    <w:tmpl w:val="1028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0B796E"/>
    <w:multiLevelType w:val="hybridMultilevel"/>
    <w:tmpl w:val="3F48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784B5D"/>
    <w:multiLevelType w:val="hybridMultilevel"/>
    <w:tmpl w:val="7390FB0E"/>
    <w:lvl w:ilvl="0" w:tplc="E57C453C">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6401365B"/>
    <w:multiLevelType w:val="hybridMultilevel"/>
    <w:tmpl w:val="1D78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5C0E32"/>
    <w:multiLevelType w:val="hybridMultilevel"/>
    <w:tmpl w:val="9B70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C54106"/>
    <w:multiLevelType w:val="hybridMultilevel"/>
    <w:tmpl w:val="9BA4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D5701D"/>
    <w:multiLevelType w:val="hybridMultilevel"/>
    <w:tmpl w:val="9C4A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225B35"/>
    <w:multiLevelType w:val="hybridMultilevel"/>
    <w:tmpl w:val="7B38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520AFA"/>
    <w:multiLevelType w:val="hybridMultilevel"/>
    <w:tmpl w:val="8AF2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8C547D"/>
    <w:multiLevelType w:val="multilevel"/>
    <w:tmpl w:val="C65AE4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4">
    <w:nsid w:val="6CB5300B"/>
    <w:multiLevelType w:val="hybridMultilevel"/>
    <w:tmpl w:val="8B5C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8D12DE"/>
    <w:multiLevelType w:val="hybridMultilevel"/>
    <w:tmpl w:val="F260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CD0956"/>
    <w:multiLevelType w:val="hybridMultilevel"/>
    <w:tmpl w:val="B148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BD3ECE"/>
    <w:multiLevelType w:val="hybridMultilevel"/>
    <w:tmpl w:val="858CD012"/>
    <w:lvl w:ilvl="0" w:tplc="75001CF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61"/>
  </w:num>
  <w:num w:numId="3">
    <w:abstractNumId w:val="9"/>
  </w:num>
  <w:num w:numId="4">
    <w:abstractNumId w:val="19"/>
  </w:num>
  <w:num w:numId="5">
    <w:abstractNumId w:val="56"/>
  </w:num>
  <w:num w:numId="6">
    <w:abstractNumId w:val="20"/>
  </w:num>
  <w:num w:numId="7">
    <w:abstractNumId w:val="51"/>
  </w:num>
  <w:num w:numId="8">
    <w:abstractNumId w:val="6"/>
  </w:num>
  <w:num w:numId="9">
    <w:abstractNumId w:val="31"/>
  </w:num>
  <w:num w:numId="10">
    <w:abstractNumId w:val="22"/>
  </w:num>
  <w:num w:numId="11">
    <w:abstractNumId w:val="26"/>
  </w:num>
  <w:num w:numId="12">
    <w:abstractNumId w:val="3"/>
  </w:num>
  <w:num w:numId="13">
    <w:abstractNumId w:val="62"/>
  </w:num>
  <w:num w:numId="14">
    <w:abstractNumId w:val="37"/>
  </w:num>
  <w:num w:numId="15">
    <w:abstractNumId w:val="8"/>
  </w:num>
  <w:num w:numId="16">
    <w:abstractNumId w:val="5"/>
  </w:num>
  <w:num w:numId="17">
    <w:abstractNumId w:val="58"/>
  </w:num>
  <w:num w:numId="18">
    <w:abstractNumId w:val="66"/>
  </w:num>
  <w:num w:numId="19">
    <w:abstractNumId w:val="23"/>
  </w:num>
  <w:num w:numId="20">
    <w:abstractNumId w:val="13"/>
  </w:num>
  <w:num w:numId="21">
    <w:abstractNumId w:val="27"/>
  </w:num>
  <w:num w:numId="22">
    <w:abstractNumId w:val="7"/>
  </w:num>
  <w:num w:numId="23">
    <w:abstractNumId w:val="21"/>
  </w:num>
  <w:num w:numId="24">
    <w:abstractNumId w:val="16"/>
  </w:num>
  <w:num w:numId="25">
    <w:abstractNumId w:val="57"/>
  </w:num>
  <w:num w:numId="26">
    <w:abstractNumId w:val="32"/>
  </w:num>
  <w:num w:numId="27">
    <w:abstractNumId w:val="64"/>
  </w:num>
  <w:num w:numId="28">
    <w:abstractNumId w:val="46"/>
  </w:num>
  <w:num w:numId="29">
    <w:abstractNumId w:val="41"/>
  </w:num>
  <w:num w:numId="30">
    <w:abstractNumId w:val="40"/>
  </w:num>
  <w:num w:numId="31">
    <w:abstractNumId w:val="18"/>
  </w:num>
  <w:num w:numId="32">
    <w:abstractNumId w:val="4"/>
  </w:num>
  <w:num w:numId="33">
    <w:abstractNumId w:val="45"/>
  </w:num>
  <w:num w:numId="34">
    <w:abstractNumId w:val="29"/>
  </w:num>
  <w:num w:numId="35">
    <w:abstractNumId w:val="43"/>
  </w:num>
  <w:num w:numId="36">
    <w:abstractNumId w:val="44"/>
  </w:num>
  <w:num w:numId="37">
    <w:abstractNumId w:val="17"/>
  </w:num>
  <w:num w:numId="38">
    <w:abstractNumId w:val="59"/>
  </w:num>
  <w:num w:numId="39">
    <w:abstractNumId w:val="10"/>
  </w:num>
  <w:num w:numId="40">
    <w:abstractNumId w:val="54"/>
  </w:num>
  <w:num w:numId="41">
    <w:abstractNumId w:val="14"/>
  </w:num>
  <w:num w:numId="42">
    <w:abstractNumId w:val="48"/>
  </w:num>
  <w:num w:numId="43">
    <w:abstractNumId w:val="52"/>
  </w:num>
  <w:num w:numId="44">
    <w:abstractNumId w:val="35"/>
  </w:num>
  <w:num w:numId="45">
    <w:abstractNumId w:val="30"/>
  </w:num>
  <w:num w:numId="46">
    <w:abstractNumId w:val="11"/>
  </w:num>
  <w:num w:numId="47">
    <w:abstractNumId w:val="55"/>
  </w:num>
  <w:num w:numId="48">
    <w:abstractNumId w:val="39"/>
  </w:num>
  <w:num w:numId="49">
    <w:abstractNumId w:val="36"/>
  </w:num>
  <w:num w:numId="50">
    <w:abstractNumId w:val="50"/>
  </w:num>
  <w:num w:numId="51">
    <w:abstractNumId w:val="15"/>
  </w:num>
  <w:num w:numId="52">
    <w:abstractNumId w:val="12"/>
  </w:num>
  <w:num w:numId="53">
    <w:abstractNumId w:val="1"/>
  </w:num>
  <w:num w:numId="54">
    <w:abstractNumId w:val="28"/>
  </w:num>
  <w:num w:numId="55">
    <w:abstractNumId w:val="38"/>
  </w:num>
  <w:num w:numId="56">
    <w:abstractNumId w:val="60"/>
  </w:num>
  <w:num w:numId="57">
    <w:abstractNumId w:val="24"/>
  </w:num>
  <w:num w:numId="58">
    <w:abstractNumId w:val="33"/>
  </w:num>
  <w:num w:numId="59">
    <w:abstractNumId w:val="2"/>
  </w:num>
  <w:num w:numId="60">
    <w:abstractNumId w:val="49"/>
  </w:num>
  <w:num w:numId="61">
    <w:abstractNumId w:val="53"/>
  </w:num>
  <w:num w:numId="62">
    <w:abstractNumId w:val="67"/>
  </w:num>
  <w:num w:numId="63">
    <w:abstractNumId w:val="25"/>
  </w:num>
  <w:num w:numId="64">
    <w:abstractNumId w:val="0"/>
  </w:num>
  <w:num w:numId="65">
    <w:abstractNumId w:val="63"/>
  </w:num>
  <w:num w:numId="66">
    <w:abstractNumId w:val="47"/>
  </w:num>
  <w:num w:numId="67">
    <w:abstractNumId w:val="42"/>
  </w:num>
  <w:num w:numId="68">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03E6B"/>
    <w:rsid w:val="000017F6"/>
    <w:rsid w:val="00001A19"/>
    <w:rsid w:val="00002BE5"/>
    <w:rsid w:val="00002CBF"/>
    <w:rsid w:val="00003712"/>
    <w:rsid w:val="00004FDD"/>
    <w:rsid w:val="000052B7"/>
    <w:rsid w:val="00005665"/>
    <w:rsid w:val="0000582A"/>
    <w:rsid w:val="00005D0B"/>
    <w:rsid w:val="00005E06"/>
    <w:rsid w:val="00005FA8"/>
    <w:rsid w:val="00007825"/>
    <w:rsid w:val="00010896"/>
    <w:rsid w:val="00010C25"/>
    <w:rsid w:val="00010CC0"/>
    <w:rsid w:val="000115A0"/>
    <w:rsid w:val="00011865"/>
    <w:rsid w:val="00011B77"/>
    <w:rsid w:val="00011D9E"/>
    <w:rsid w:val="0001263C"/>
    <w:rsid w:val="000128F9"/>
    <w:rsid w:val="00012CBB"/>
    <w:rsid w:val="00012E5D"/>
    <w:rsid w:val="00012E79"/>
    <w:rsid w:val="000136CC"/>
    <w:rsid w:val="00013877"/>
    <w:rsid w:val="00014932"/>
    <w:rsid w:val="00014A6B"/>
    <w:rsid w:val="00015211"/>
    <w:rsid w:val="000152F8"/>
    <w:rsid w:val="000153F9"/>
    <w:rsid w:val="00015877"/>
    <w:rsid w:val="000158A8"/>
    <w:rsid w:val="00015AF0"/>
    <w:rsid w:val="0001636E"/>
    <w:rsid w:val="00016551"/>
    <w:rsid w:val="000167BB"/>
    <w:rsid w:val="0001703B"/>
    <w:rsid w:val="00017645"/>
    <w:rsid w:val="00017D3F"/>
    <w:rsid w:val="0002069F"/>
    <w:rsid w:val="0002124C"/>
    <w:rsid w:val="000214BC"/>
    <w:rsid w:val="00021A04"/>
    <w:rsid w:val="00021B2C"/>
    <w:rsid w:val="00022046"/>
    <w:rsid w:val="0002245D"/>
    <w:rsid w:val="00022CBA"/>
    <w:rsid w:val="00023140"/>
    <w:rsid w:val="000232B1"/>
    <w:rsid w:val="0002331B"/>
    <w:rsid w:val="00023A27"/>
    <w:rsid w:val="00023BCA"/>
    <w:rsid w:val="00023EDE"/>
    <w:rsid w:val="00023F7D"/>
    <w:rsid w:val="0002403A"/>
    <w:rsid w:val="00024064"/>
    <w:rsid w:val="00024495"/>
    <w:rsid w:val="0002471A"/>
    <w:rsid w:val="0002567D"/>
    <w:rsid w:val="00025F7B"/>
    <w:rsid w:val="00025FCA"/>
    <w:rsid w:val="00025FF3"/>
    <w:rsid w:val="00025FF8"/>
    <w:rsid w:val="000260E8"/>
    <w:rsid w:val="00026286"/>
    <w:rsid w:val="00026BF5"/>
    <w:rsid w:val="00026D84"/>
    <w:rsid w:val="000278E9"/>
    <w:rsid w:val="0003002B"/>
    <w:rsid w:val="000308E7"/>
    <w:rsid w:val="00030F32"/>
    <w:rsid w:val="000311AA"/>
    <w:rsid w:val="0003191A"/>
    <w:rsid w:val="000322D7"/>
    <w:rsid w:val="000323BA"/>
    <w:rsid w:val="00033152"/>
    <w:rsid w:val="00033A64"/>
    <w:rsid w:val="000356C5"/>
    <w:rsid w:val="00035815"/>
    <w:rsid w:val="00036B97"/>
    <w:rsid w:val="0003747A"/>
    <w:rsid w:val="000374F0"/>
    <w:rsid w:val="00037F3B"/>
    <w:rsid w:val="00040096"/>
    <w:rsid w:val="00040186"/>
    <w:rsid w:val="00040AFC"/>
    <w:rsid w:val="00040EEE"/>
    <w:rsid w:val="00041498"/>
    <w:rsid w:val="00041940"/>
    <w:rsid w:val="00041B1F"/>
    <w:rsid w:val="00041C4C"/>
    <w:rsid w:val="000434D4"/>
    <w:rsid w:val="00043938"/>
    <w:rsid w:val="00044B14"/>
    <w:rsid w:val="0004520E"/>
    <w:rsid w:val="00045AF9"/>
    <w:rsid w:val="00045E77"/>
    <w:rsid w:val="00045FE1"/>
    <w:rsid w:val="000466DD"/>
    <w:rsid w:val="00046FAE"/>
    <w:rsid w:val="00047C68"/>
    <w:rsid w:val="000500A2"/>
    <w:rsid w:val="00051299"/>
    <w:rsid w:val="00051354"/>
    <w:rsid w:val="0005154F"/>
    <w:rsid w:val="000515B3"/>
    <w:rsid w:val="000519D1"/>
    <w:rsid w:val="000519FC"/>
    <w:rsid w:val="00051D8F"/>
    <w:rsid w:val="00051FAF"/>
    <w:rsid w:val="00052E30"/>
    <w:rsid w:val="00053638"/>
    <w:rsid w:val="00053EB6"/>
    <w:rsid w:val="00054847"/>
    <w:rsid w:val="00054A64"/>
    <w:rsid w:val="000554AA"/>
    <w:rsid w:val="00055EA4"/>
    <w:rsid w:val="000561B5"/>
    <w:rsid w:val="00056571"/>
    <w:rsid w:val="000566CF"/>
    <w:rsid w:val="00056EA1"/>
    <w:rsid w:val="00057041"/>
    <w:rsid w:val="0005748A"/>
    <w:rsid w:val="00057A89"/>
    <w:rsid w:val="00060358"/>
    <w:rsid w:val="00060FA5"/>
    <w:rsid w:val="000610E5"/>
    <w:rsid w:val="0006119B"/>
    <w:rsid w:val="000618A1"/>
    <w:rsid w:val="0006194B"/>
    <w:rsid w:val="00061AA1"/>
    <w:rsid w:val="00061CE4"/>
    <w:rsid w:val="00061DAA"/>
    <w:rsid w:val="00062329"/>
    <w:rsid w:val="0006260F"/>
    <w:rsid w:val="00062D34"/>
    <w:rsid w:val="0006354E"/>
    <w:rsid w:val="00063DA6"/>
    <w:rsid w:val="000641EE"/>
    <w:rsid w:val="0006428E"/>
    <w:rsid w:val="00064A76"/>
    <w:rsid w:val="00065299"/>
    <w:rsid w:val="00065E44"/>
    <w:rsid w:val="00065F10"/>
    <w:rsid w:val="00067421"/>
    <w:rsid w:val="00067A7B"/>
    <w:rsid w:val="00067B90"/>
    <w:rsid w:val="00067DF3"/>
    <w:rsid w:val="000706F0"/>
    <w:rsid w:val="00070975"/>
    <w:rsid w:val="00070D30"/>
    <w:rsid w:val="000711E9"/>
    <w:rsid w:val="00071DBF"/>
    <w:rsid w:val="00071DDF"/>
    <w:rsid w:val="000728EA"/>
    <w:rsid w:val="000729D2"/>
    <w:rsid w:val="00072CF9"/>
    <w:rsid w:val="0007350B"/>
    <w:rsid w:val="00073F29"/>
    <w:rsid w:val="0007410C"/>
    <w:rsid w:val="00074785"/>
    <w:rsid w:val="0007497F"/>
    <w:rsid w:val="00074ADC"/>
    <w:rsid w:val="00074BA4"/>
    <w:rsid w:val="00075034"/>
    <w:rsid w:val="0007515D"/>
    <w:rsid w:val="000751A3"/>
    <w:rsid w:val="0007541F"/>
    <w:rsid w:val="00075CE3"/>
    <w:rsid w:val="00075D2C"/>
    <w:rsid w:val="00076040"/>
    <w:rsid w:val="000766AE"/>
    <w:rsid w:val="00076841"/>
    <w:rsid w:val="0007695C"/>
    <w:rsid w:val="00076A3C"/>
    <w:rsid w:val="000770E7"/>
    <w:rsid w:val="00077601"/>
    <w:rsid w:val="000778DC"/>
    <w:rsid w:val="000779A7"/>
    <w:rsid w:val="000800E1"/>
    <w:rsid w:val="0008052E"/>
    <w:rsid w:val="00081D70"/>
    <w:rsid w:val="00082030"/>
    <w:rsid w:val="00082520"/>
    <w:rsid w:val="00082836"/>
    <w:rsid w:val="00082B50"/>
    <w:rsid w:val="00083048"/>
    <w:rsid w:val="00083104"/>
    <w:rsid w:val="000831C3"/>
    <w:rsid w:val="0008324F"/>
    <w:rsid w:val="000839AE"/>
    <w:rsid w:val="00083A32"/>
    <w:rsid w:val="0008412A"/>
    <w:rsid w:val="000843F4"/>
    <w:rsid w:val="00084606"/>
    <w:rsid w:val="00084A3D"/>
    <w:rsid w:val="00084A52"/>
    <w:rsid w:val="00085385"/>
    <w:rsid w:val="00085640"/>
    <w:rsid w:val="0008567E"/>
    <w:rsid w:val="000856F7"/>
    <w:rsid w:val="00085920"/>
    <w:rsid w:val="00085DE6"/>
    <w:rsid w:val="000868E0"/>
    <w:rsid w:val="00086A54"/>
    <w:rsid w:val="00086AAA"/>
    <w:rsid w:val="00086B6E"/>
    <w:rsid w:val="00086FC1"/>
    <w:rsid w:val="00087820"/>
    <w:rsid w:val="00087CA0"/>
    <w:rsid w:val="00090065"/>
    <w:rsid w:val="000908AB"/>
    <w:rsid w:val="000909BD"/>
    <w:rsid w:val="00090A1A"/>
    <w:rsid w:val="00090B43"/>
    <w:rsid w:val="00091284"/>
    <w:rsid w:val="000913F8"/>
    <w:rsid w:val="00091897"/>
    <w:rsid w:val="000918AD"/>
    <w:rsid w:val="000919C6"/>
    <w:rsid w:val="00092304"/>
    <w:rsid w:val="000923CF"/>
    <w:rsid w:val="00092DCE"/>
    <w:rsid w:val="00093327"/>
    <w:rsid w:val="00093739"/>
    <w:rsid w:val="00093CE0"/>
    <w:rsid w:val="000941A9"/>
    <w:rsid w:val="0009531F"/>
    <w:rsid w:val="00095908"/>
    <w:rsid w:val="0009602D"/>
    <w:rsid w:val="000960D3"/>
    <w:rsid w:val="00096634"/>
    <w:rsid w:val="00096D4E"/>
    <w:rsid w:val="0009707E"/>
    <w:rsid w:val="0009749E"/>
    <w:rsid w:val="00097A76"/>
    <w:rsid w:val="00097E63"/>
    <w:rsid w:val="000A07E5"/>
    <w:rsid w:val="000A08A0"/>
    <w:rsid w:val="000A10A1"/>
    <w:rsid w:val="000A15FF"/>
    <w:rsid w:val="000A17D2"/>
    <w:rsid w:val="000A194B"/>
    <w:rsid w:val="000A1A69"/>
    <w:rsid w:val="000A1DA7"/>
    <w:rsid w:val="000A1F99"/>
    <w:rsid w:val="000A2484"/>
    <w:rsid w:val="000A267C"/>
    <w:rsid w:val="000A28D5"/>
    <w:rsid w:val="000A2920"/>
    <w:rsid w:val="000A2A0C"/>
    <w:rsid w:val="000A3D12"/>
    <w:rsid w:val="000A41C9"/>
    <w:rsid w:val="000A42B5"/>
    <w:rsid w:val="000A4F2D"/>
    <w:rsid w:val="000A5E00"/>
    <w:rsid w:val="000A5EDC"/>
    <w:rsid w:val="000A61FC"/>
    <w:rsid w:val="000A6A8E"/>
    <w:rsid w:val="000A70D2"/>
    <w:rsid w:val="000A76BB"/>
    <w:rsid w:val="000A7856"/>
    <w:rsid w:val="000A792E"/>
    <w:rsid w:val="000A794F"/>
    <w:rsid w:val="000B0418"/>
    <w:rsid w:val="000B0916"/>
    <w:rsid w:val="000B09DD"/>
    <w:rsid w:val="000B0AF6"/>
    <w:rsid w:val="000B0D82"/>
    <w:rsid w:val="000B0DD6"/>
    <w:rsid w:val="000B0E69"/>
    <w:rsid w:val="000B127E"/>
    <w:rsid w:val="000B1507"/>
    <w:rsid w:val="000B170E"/>
    <w:rsid w:val="000B1788"/>
    <w:rsid w:val="000B17AB"/>
    <w:rsid w:val="000B2C93"/>
    <w:rsid w:val="000B2F74"/>
    <w:rsid w:val="000B32D3"/>
    <w:rsid w:val="000B38F7"/>
    <w:rsid w:val="000B3964"/>
    <w:rsid w:val="000B3CBD"/>
    <w:rsid w:val="000B3FB9"/>
    <w:rsid w:val="000B453B"/>
    <w:rsid w:val="000B4703"/>
    <w:rsid w:val="000B49BD"/>
    <w:rsid w:val="000B61C8"/>
    <w:rsid w:val="000B6411"/>
    <w:rsid w:val="000B6955"/>
    <w:rsid w:val="000B6A57"/>
    <w:rsid w:val="000B6B82"/>
    <w:rsid w:val="000B7089"/>
    <w:rsid w:val="000B746F"/>
    <w:rsid w:val="000C06EC"/>
    <w:rsid w:val="000C0AA4"/>
    <w:rsid w:val="000C108C"/>
    <w:rsid w:val="000C1600"/>
    <w:rsid w:val="000C1854"/>
    <w:rsid w:val="000C1D74"/>
    <w:rsid w:val="000C1DE5"/>
    <w:rsid w:val="000C1E04"/>
    <w:rsid w:val="000C259E"/>
    <w:rsid w:val="000C3F65"/>
    <w:rsid w:val="000C6B74"/>
    <w:rsid w:val="000C6C4A"/>
    <w:rsid w:val="000C720D"/>
    <w:rsid w:val="000C7389"/>
    <w:rsid w:val="000C7B5E"/>
    <w:rsid w:val="000D0404"/>
    <w:rsid w:val="000D04A9"/>
    <w:rsid w:val="000D1C04"/>
    <w:rsid w:val="000D20A0"/>
    <w:rsid w:val="000D2166"/>
    <w:rsid w:val="000D2465"/>
    <w:rsid w:val="000D2AEB"/>
    <w:rsid w:val="000D318E"/>
    <w:rsid w:val="000D39D6"/>
    <w:rsid w:val="000D3AE1"/>
    <w:rsid w:val="000D4A0C"/>
    <w:rsid w:val="000D500D"/>
    <w:rsid w:val="000D53CE"/>
    <w:rsid w:val="000D54DE"/>
    <w:rsid w:val="000D6114"/>
    <w:rsid w:val="000D639E"/>
    <w:rsid w:val="000D67E0"/>
    <w:rsid w:val="000D6D46"/>
    <w:rsid w:val="000D74C4"/>
    <w:rsid w:val="000D786A"/>
    <w:rsid w:val="000D7A70"/>
    <w:rsid w:val="000D7D0D"/>
    <w:rsid w:val="000E03B6"/>
    <w:rsid w:val="000E0417"/>
    <w:rsid w:val="000E0897"/>
    <w:rsid w:val="000E130A"/>
    <w:rsid w:val="000E1733"/>
    <w:rsid w:val="000E19DE"/>
    <w:rsid w:val="000E1DF9"/>
    <w:rsid w:val="000E1E38"/>
    <w:rsid w:val="000E208B"/>
    <w:rsid w:val="000E266A"/>
    <w:rsid w:val="000E26BC"/>
    <w:rsid w:val="000E36D4"/>
    <w:rsid w:val="000E3982"/>
    <w:rsid w:val="000E3B4E"/>
    <w:rsid w:val="000E457D"/>
    <w:rsid w:val="000E474D"/>
    <w:rsid w:val="000E4B12"/>
    <w:rsid w:val="000E500B"/>
    <w:rsid w:val="000E550B"/>
    <w:rsid w:val="000E5613"/>
    <w:rsid w:val="000E5749"/>
    <w:rsid w:val="000E577D"/>
    <w:rsid w:val="000E5D0C"/>
    <w:rsid w:val="000E5DD0"/>
    <w:rsid w:val="000E60D0"/>
    <w:rsid w:val="000E657D"/>
    <w:rsid w:val="000E65B4"/>
    <w:rsid w:val="000E66EE"/>
    <w:rsid w:val="000E69CF"/>
    <w:rsid w:val="000E71E7"/>
    <w:rsid w:val="000E7240"/>
    <w:rsid w:val="000E7384"/>
    <w:rsid w:val="000F0225"/>
    <w:rsid w:val="000F0462"/>
    <w:rsid w:val="000F0B4C"/>
    <w:rsid w:val="000F1070"/>
    <w:rsid w:val="000F10C5"/>
    <w:rsid w:val="000F195A"/>
    <w:rsid w:val="000F1ABC"/>
    <w:rsid w:val="000F25B2"/>
    <w:rsid w:val="000F270B"/>
    <w:rsid w:val="000F2B6D"/>
    <w:rsid w:val="000F2DBD"/>
    <w:rsid w:val="000F31D4"/>
    <w:rsid w:val="000F3442"/>
    <w:rsid w:val="000F39CB"/>
    <w:rsid w:val="000F3C30"/>
    <w:rsid w:val="000F40C0"/>
    <w:rsid w:val="000F41CC"/>
    <w:rsid w:val="000F49C4"/>
    <w:rsid w:val="000F5E7E"/>
    <w:rsid w:val="000F6138"/>
    <w:rsid w:val="000F61FF"/>
    <w:rsid w:val="000F6F87"/>
    <w:rsid w:val="000F7562"/>
    <w:rsid w:val="000F76E5"/>
    <w:rsid w:val="00100693"/>
    <w:rsid w:val="00100BC9"/>
    <w:rsid w:val="00100C3F"/>
    <w:rsid w:val="00100EB5"/>
    <w:rsid w:val="0010104C"/>
    <w:rsid w:val="00102724"/>
    <w:rsid w:val="00102B67"/>
    <w:rsid w:val="0010343D"/>
    <w:rsid w:val="00103D1E"/>
    <w:rsid w:val="0010415E"/>
    <w:rsid w:val="0010429D"/>
    <w:rsid w:val="00104389"/>
    <w:rsid w:val="00104A2C"/>
    <w:rsid w:val="00104C03"/>
    <w:rsid w:val="001051D0"/>
    <w:rsid w:val="0010520C"/>
    <w:rsid w:val="001054D5"/>
    <w:rsid w:val="0010593B"/>
    <w:rsid w:val="00105A2D"/>
    <w:rsid w:val="00105BE2"/>
    <w:rsid w:val="001061B5"/>
    <w:rsid w:val="00106214"/>
    <w:rsid w:val="00106918"/>
    <w:rsid w:val="00106FEE"/>
    <w:rsid w:val="001077A1"/>
    <w:rsid w:val="00107EAC"/>
    <w:rsid w:val="00110284"/>
    <w:rsid w:val="00110F19"/>
    <w:rsid w:val="00111265"/>
    <w:rsid w:val="00111E07"/>
    <w:rsid w:val="00112E03"/>
    <w:rsid w:val="00113824"/>
    <w:rsid w:val="00113876"/>
    <w:rsid w:val="00115330"/>
    <w:rsid w:val="0011608C"/>
    <w:rsid w:val="001166F8"/>
    <w:rsid w:val="00117112"/>
    <w:rsid w:val="001173FB"/>
    <w:rsid w:val="001176BA"/>
    <w:rsid w:val="00120207"/>
    <w:rsid w:val="001205B9"/>
    <w:rsid w:val="00120C0A"/>
    <w:rsid w:val="00120E5F"/>
    <w:rsid w:val="0012195E"/>
    <w:rsid w:val="0012262C"/>
    <w:rsid w:val="00122A9B"/>
    <w:rsid w:val="001232F2"/>
    <w:rsid w:val="00123930"/>
    <w:rsid w:val="001244E6"/>
    <w:rsid w:val="00124AD6"/>
    <w:rsid w:val="00124BC4"/>
    <w:rsid w:val="00124D39"/>
    <w:rsid w:val="00125484"/>
    <w:rsid w:val="00125957"/>
    <w:rsid w:val="00125F31"/>
    <w:rsid w:val="00125FAC"/>
    <w:rsid w:val="001262C2"/>
    <w:rsid w:val="00126841"/>
    <w:rsid w:val="0012707F"/>
    <w:rsid w:val="00127414"/>
    <w:rsid w:val="00127478"/>
    <w:rsid w:val="00127C6E"/>
    <w:rsid w:val="0013045E"/>
    <w:rsid w:val="00130832"/>
    <w:rsid w:val="00130A21"/>
    <w:rsid w:val="00130E9E"/>
    <w:rsid w:val="00131309"/>
    <w:rsid w:val="00131C62"/>
    <w:rsid w:val="00131D45"/>
    <w:rsid w:val="00131E00"/>
    <w:rsid w:val="001334EB"/>
    <w:rsid w:val="001336D1"/>
    <w:rsid w:val="00133771"/>
    <w:rsid w:val="00133D1C"/>
    <w:rsid w:val="0013406B"/>
    <w:rsid w:val="00134487"/>
    <w:rsid w:val="00134F41"/>
    <w:rsid w:val="00135E4C"/>
    <w:rsid w:val="00136D91"/>
    <w:rsid w:val="00137B3C"/>
    <w:rsid w:val="0014104E"/>
    <w:rsid w:val="001410CF"/>
    <w:rsid w:val="00141246"/>
    <w:rsid w:val="001416CA"/>
    <w:rsid w:val="00142A4B"/>
    <w:rsid w:val="00142A85"/>
    <w:rsid w:val="00142E5B"/>
    <w:rsid w:val="001432CF"/>
    <w:rsid w:val="00143B3B"/>
    <w:rsid w:val="0014456C"/>
    <w:rsid w:val="001445C3"/>
    <w:rsid w:val="00144B02"/>
    <w:rsid w:val="00144C48"/>
    <w:rsid w:val="00144FAE"/>
    <w:rsid w:val="00145919"/>
    <w:rsid w:val="001459C9"/>
    <w:rsid w:val="00145C4D"/>
    <w:rsid w:val="00146B8C"/>
    <w:rsid w:val="00146E1E"/>
    <w:rsid w:val="00146E69"/>
    <w:rsid w:val="00147048"/>
    <w:rsid w:val="001472A4"/>
    <w:rsid w:val="001474B8"/>
    <w:rsid w:val="00147C68"/>
    <w:rsid w:val="00147D15"/>
    <w:rsid w:val="0015042B"/>
    <w:rsid w:val="00151159"/>
    <w:rsid w:val="0015145A"/>
    <w:rsid w:val="00151687"/>
    <w:rsid w:val="0015168B"/>
    <w:rsid w:val="00151988"/>
    <w:rsid w:val="00151CB7"/>
    <w:rsid w:val="001523B6"/>
    <w:rsid w:val="001523EC"/>
    <w:rsid w:val="001537A1"/>
    <w:rsid w:val="00153AD0"/>
    <w:rsid w:val="00153C81"/>
    <w:rsid w:val="00153EAD"/>
    <w:rsid w:val="00154102"/>
    <w:rsid w:val="0015411D"/>
    <w:rsid w:val="00155115"/>
    <w:rsid w:val="00155E7A"/>
    <w:rsid w:val="001571E7"/>
    <w:rsid w:val="0015784E"/>
    <w:rsid w:val="001600AE"/>
    <w:rsid w:val="0016059A"/>
    <w:rsid w:val="001610C3"/>
    <w:rsid w:val="00162561"/>
    <w:rsid w:val="001626AD"/>
    <w:rsid w:val="0016271C"/>
    <w:rsid w:val="0016293C"/>
    <w:rsid w:val="00162CE8"/>
    <w:rsid w:val="00163ADC"/>
    <w:rsid w:val="001641D1"/>
    <w:rsid w:val="0016448D"/>
    <w:rsid w:val="00164991"/>
    <w:rsid w:val="00164DE6"/>
    <w:rsid w:val="00165810"/>
    <w:rsid w:val="00165850"/>
    <w:rsid w:val="00165A14"/>
    <w:rsid w:val="00165B2A"/>
    <w:rsid w:val="00165E43"/>
    <w:rsid w:val="001667E8"/>
    <w:rsid w:val="00166E47"/>
    <w:rsid w:val="00167211"/>
    <w:rsid w:val="0016789A"/>
    <w:rsid w:val="00167C9E"/>
    <w:rsid w:val="00167EBB"/>
    <w:rsid w:val="00170B31"/>
    <w:rsid w:val="00170B5A"/>
    <w:rsid w:val="00171353"/>
    <w:rsid w:val="00172154"/>
    <w:rsid w:val="0017227F"/>
    <w:rsid w:val="0017243F"/>
    <w:rsid w:val="00172611"/>
    <w:rsid w:val="001728FC"/>
    <w:rsid w:val="00172A16"/>
    <w:rsid w:val="00174762"/>
    <w:rsid w:val="00174DD6"/>
    <w:rsid w:val="00174E35"/>
    <w:rsid w:val="00175095"/>
    <w:rsid w:val="00176166"/>
    <w:rsid w:val="001764E3"/>
    <w:rsid w:val="00176E47"/>
    <w:rsid w:val="00177C74"/>
    <w:rsid w:val="001800F1"/>
    <w:rsid w:val="001801B8"/>
    <w:rsid w:val="001810DD"/>
    <w:rsid w:val="001815A3"/>
    <w:rsid w:val="001815C1"/>
    <w:rsid w:val="00181C6E"/>
    <w:rsid w:val="0018237A"/>
    <w:rsid w:val="001825A8"/>
    <w:rsid w:val="001826BD"/>
    <w:rsid w:val="0018343B"/>
    <w:rsid w:val="0018350E"/>
    <w:rsid w:val="00184A57"/>
    <w:rsid w:val="00185103"/>
    <w:rsid w:val="001866B4"/>
    <w:rsid w:val="0018678E"/>
    <w:rsid w:val="00186B7D"/>
    <w:rsid w:val="00186B9D"/>
    <w:rsid w:val="00186C41"/>
    <w:rsid w:val="00186D0E"/>
    <w:rsid w:val="00187043"/>
    <w:rsid w:val="00187786"/>
    <w:rsid w:val="00187B48"/>
    <w:rsid w:val="00187D7B"/>
    <w:rsid w:val="00190498"/>
    <w:rsid w:val="001906D4"/>
    <w:rsid w:val="00190E6C"/>
    <w:rsid w:val="001911A4"/>
    <w:rsid w:val="001912EF"/>
    <w:rsid w:val="00192942"/>
    <w:rsid w:val="00193083"/>
    <w:rsid w:val="00193875"/>
    <w:rsid w:val="001938F5"/>
    <w:rsid w:val="001940D5"/>
    <w:rsid w:val="00194B77"/>
    <w:rsid w:val="001953C1"/>
    <w:rsid w:val="00195C9E"/>
    <w:rsid w:val="00196319"/>
    <w:rsid w:val="0019655A"/>
    <w:rsid w:val="00197905"/>
    <w:rsid w:val="00197E19"/>
    <w:rsid w:val="001A0044"/>
    <w:rsid w:val="001A0F9A"/>
    <w:rsid w:val="001A14F1"/>
    <w:rsid w:val="001A1AE1"/>
    <w:rsid w:val="001A1AE4"/>
    <w:rsid w:val="001A1AE5"/>
    <w:rsid w:val="001A22EE"/>
    <w:rsid w:val="001A438D"/>
    <w:rsid w:val="001A43AB"/>
    <w:rsid w:val="001A5313"/>
    <w:rsid w:val="001A555A"/>
    <w:rsid w:val="001A5AB9"/>
    <w:rsid w:val="001A5AC3"/>
    <w:rsid w:val="001A5D02"/>
    <w:rsid w:val="001A6F93"/>
    <w:rsid w:val="001A75F7"/>
    <w:rsid w:val="001A776C"/>
    <w:rsid w:val="001B00D2"/>
    <w:rsid w:val="001B0C12"/>
    <w:rsid w:val="001B0ED9"/>
    <w:rsid w:val="001B11C4"/>
    <w:rsid w:val="001B1556"/>
    <w:rsid w:val="001B1A63"/>
    <w:rsid w:val="001B2953"/>
    <w:rsid w:val="001B2B4A"/>
    <w:rsid w:val="001B2C96"/>
    <w:rsid w:val="001B2F7C"/>
    <w:rsid w:val="001B3640"/>
    <w:rsid w:val="001B3770"/>
    <w:rsid w:val="001B383F"/>
    <w:rsid w:val="001B40FC"/>
    <w:rsid w:val="001B43BB"/>
    <w:rsid w:val="001B44C2"/>
    <w:rsid w:val="001B4868"/>
    <w:rsid w:val="001B4C60"/>
    <w:rsid w:val="001B5254"/>
    <w:rsid w:val="001B570D"/>
    <w:rsid w:val="001B57F8"/>
    <w:rsid w:val="001B616E"/>
    <w:rsid w:val="001B6215"/>
    <w:rsid w:val="001B639F"/>
    <w:rsid w:val="001B65B6"/>
    <w:rsid w:val="001B6602"/>
    <w:rsid w:val="001B6720"/>
    <w:rsid w:val="001B6985"/>
    <w:rsid w:val="001B6A08"/>
    <w:rsid w:val="001B6A78"/>
    <w:rsid w:val="001B6F78"/>
    <w:rsid w:val="001B7640"/>
    <w:rsid w:val="001B7FA4"/>
    <w:rsid w:val="001C0005"/>
    <w:rsid w:val="001C08EA"/>
    <w:rsid w:val="001C101E"/>
    <w:rsid w:val="001C1DB3"/>
    <w:rsid w:val="001C2046"/>
    <w:rsid w:val="001C208B"/>
    <w:rsid w:val="001C23EC"/>
    <w:rsid w:val="001C2B7B"/>
    <w:rsid w:val="001C2DD8"/>
    <w:rsid w:val="001C3BE7"/>
    <w:rsid w:val="001C55D7"/>
    <w:rsid w:val="001C5941"/>
    <w:rsid w:val="001C5E12"/>
    <w:rsid w:val="001C601F"/>
    <w:rsid w:val="001C614F"/>
    <w:rsid w:val="001C6354"/>
    <w:rsid w:val="001C6540"/>
    <w:rsid w:val="001C69FF"/>
    <w:rsid w:val="001C7074"/>
    <w:rsid w:val="001C7AE7"/>
    <w:rsid w:val="001C7BC5"/>
    <w:rsid w:val="001C7CE7"/>
    <w:rsid w:val="001D0098"/>
    <w:rsid w:val="001D07C1"/>
    <w:rsid w:val="001D0F2B"/>
    <w:rsid w:val="001D15FA"/>
    <w:rsid w:val="001D1748"/>
    <w:rsid w:val="001D2A51"/>
    <w:rsid w:val="001D2EE2"/>
    <w:rsid w:val="001D301D"/>
    <w:rsid w:val="001D30E7"/>
    <w:rsid w:val="001D380A"/>
    <w:rsid w:val="001D4BAE"/>
    <w:rsid w:val="001D50F9"/>
    <w:rsid w:val="001D51E4"/>
    <w:rsid w:val="001D5852"/>
    <w:rsid w:val="001D5AA3"/>
    <w:rsid w:val="001D6215"/>
    <w:rsid w:val="001D70BF"/>
    <w:rsid w:val="001D77AD"/>
    <w:rsid w:val="001D787C"/>
    <w:rsid w:val="001D790D"/>
    <w:rsid w:val="001D7BCF"/>
    <w:rsid w:val="001E037E"/>
    <w:rsid w:val="001E086E"/>
    <w:rsid w:val="001E0A7C"/>
    <w:rsid w:val="001E0CF1"/>
    <w:rsid w:val="001E1063"/>
    <w:rsid w:val="001E140F"/>
    <w:rsid w:val="001E1A8C"/>
    <w:rsid w:val="001E1E2F"/>
    <w:rsid w:val="001E25AE"/>
    <w:rsid w:val="001E284E"/>
    <w:rsid w:val="001E3622"/>
    <w:rsid w:val="001E36AC"/>
    <w:rsid w:val="001E36FC"/>
    <w:rsid w:val="001E4BA1"/>
    <w:rsid w:val="001E4FC2"/>
    <w:rsid w:val="001E548E"/>
    <w:rsid w:val="001E66BE"/>
    <w:rsid w:val="001E7315"/>
    <w:rsid w:val="001E78DD"/>
    <w:rsid w:val="001E7C7C"/>
    <w:rsid w:val="001F09FC"/>
    <w:rsid w:val="001F0FFD"/>
    <w:rsid w:val="001F17FA"/>
    <w:rsid w:val="001F1E56"/>
    <w:rsid w:val="001F2618"/>
    <w:rsid w:val="001F286C"/>
    <w:rsid w:val="001F2A08"/>
    <w:rsid w:val="001F337F"/>
    <w:rsid w:val="001F3985"/>
    <w:rsid w:val="001F3BDB"/>
    <w:rsid w:val="001F411A"/>
    <w:rsid w:val="001F439B"/>
    <w:rsid w:val="001F4842"/>
    <w:rsid w:val="001F4A76"/>
    <w:rsid w:val="001F5050"/>
    <w:rsid w:val="001F5383"/>
    <w:rsid w:val="001F5CFF"/>
    <w:rsid w:val="001F5F23"/>
    <w:rsid w:val="001F6050"/>
    <w:rsid w:val="001F6623"/>
    <w:rsid w:val="001F7479"/>
    <w:rsid w:val="001F79E9"/>
    <w:rsid w:val="001F7DD4"/>
    <w:rsid w:val="002004BD"/>
    <w:rsid w:val="00201349"/>
    <w:rsid w:val="00201667"/>
    <w:rsid w:val="0020189C"/>
    <w:rsid w:val="00201CF9"/>
    <w:rsid w:val="00202CC5"/>
    <w:rsid w:val="00202CED"/>
    <w:rsid w:val="00202FC8"/>
    <w:rsid w:val="002032C7"/>
    <w:rsid w:val="002035D9"/>
    <w:rsid w:val="00203A74"/>
    <w:rsid w:val="00203BE5"/>
    <w:rsid w:val="002041F3"/>
    <w:rsid w:val="002047AA"/>
    <w:rsid w:val="00205471"/>
    <w:rsid w:val="0020582C"/>
    <w:rsid w:val="00206941"/>
    <w:rsid w:val="00206AD4"/>
    <w:rsid w:val="00206E20"/>
    <w:rsid w:val="00206ED9"/>
    <w:rsid w:val="00206FC3"/>
    <w:rsid w:val="002074AC"/>
    <w:rsid w:val="00207B24"/>
    <w:rsid w:val="00207B8A"/>
    <w:rsid w:val="00207BB9"/>
    <w:rsid w:val="00207CC0"/>
    <w:rsid w:val="00207DF6"/>
    <w:rsid w:val="00207F31"/>
    <w:rsid w:val="00207F95"/>
    <w:rsid w:val="002104E1"/>
    <w:rsid w:val="00210B2D"/>
    <w:rsid w:val="00211A48"/>
    <w:rsid w:val="00211BBF"/>
    <w:rsid w:val="002120F9"/>
    <w:rsid w:val="002129DE"/>
    <w:rsid w:val="00212CFA"/>
    <w:rsid w:val="00212F53"/>
    <w:rsid w:val="0021333C"/>
    <w:rsid w:val="002136BD"/>
    <w:rsid w:val="00213DF9"/>
    <w:rsid w:val="0021435B"/>
    <w:rsid w:val="00215514"/>
    <w:rsid w:val="00215821"/>
    <w:rsid w:val="00216A5A"/>
    <w:rsid w:val="00216DA6"/>
    <w:rsid w:val="00217E01"/>
    <w:rsid w:val="00220324"/>
    <w:rsid w:val="002203E6"/>
    <w:rsid w:val="00220504"/>
    <w:rsid w:val="0022052F"/>
    <w:rsid w:val="00220992"/>
    <w:rsid w:val="00221322"/>
    <w:rsid w:val="00221623"/>
    <w:rsid w:val="00221797"/>
    <w:rsid w:val="002217E7"/>
    <w:rsid w:val="00221CD3"/>
    <w:rsid w:val="00221DE2"/>
    <w:rsid w:val="00221E17"/>
    <w:rsid w:val="00221EDB"/>
    <w:rsid w:val="002220D1"/>
    <w:rsid w:val="0022363A"/>
    <w:rsid w:val="00223B80"/>
    <w:rsid w:val="00223E23"/>
    <w:rsid w:val="00223EA0"/>
    <w:rsid w:val="0022459B"/>
    <w:rsid w:val="00224D0E"/>
    <w:rsid w:val="002254D1"/>
    <w:rsid w:val="00225AD9"/>
    <w:rsid w:val="002261AF"/>
    <w:rsid w:val="0022682F"/>
    <w:rsid w:val="00226B79"/>
    <w:rsid w:val="00226FBC"/>
    <w:rsid w:val="0023075F"/>
    <w:rsid w:val="00230E6E"/>
    <w:rsid w:val="002311F9"/>
    <w:rsid w:val="0023156D"/>
    <w:rsid w:val="00231B20"/>
    <w:rsid w:val="00231EFF"/>
    <w:rsid w:val="00233A2D"/>
    <w:rsid w:val="00234054"/>
    <w:rsid w:val="00234884"/>
    <w:rsid w:val="0023569F"/>
    <w:rsid w:val="0023576A"/>
    <w:rsid w:val="00236977"/>
    <w:rsid w:val="0023743A"/>
    <w:rsid w:val="00237DCF"/>
    <w:rsid w:val="0024093C"/>
    <w:rsid w:val="00240AE9"/>
    <w:rsid w:val="00240C21"/>
    <w:rsid w:val="002412D4"/>
    <w:rsid w:val="0024140F"/>
    <w:rsid w:val="002415BF"/>
    <w:rsid w:val="00242C7C"/>
    <w:rsid w:val="00242D31"/>
    <w:rsid w:val="00244509"/>
    <w:rsid w:val="002445FB"/>
    <w:rsid w:val="00244F83"/>
    <w:rsid w:val="00245637"/>
    <w:rsid w:val="00246DAD"/>
    <w:rsid w:val="0024711D"/>
    <w:rsid w:val="0024756C"/>
    <w:rsid w:val="00247E80"/>
    <w:rsid w:val="002508E3"/>
    <w:rsid w:val="00250CC5"/>
    <w:rsid w:val="002517A0"/>
    <w:rsid w:val="002517C2"/>
    <w:rsid w:val="00251F6F"/>
    <w:rsid w:val="002520D4"/>
    <w:rsid w:val="00252415"/>
    <w:rsid w:val="0025272A"/>
    <w:rsid w:val="00252B92"/>
    <w:rsid w:val="00253625"/>
    <w:rsid w:val="00253B52"/>
    <w:rsid w:val="00253C01"/>
    <w:rsid w:val="002543AA"/>
    <w:rsid w:val="002546D6"/>
    <w:rsid w:val="002548C1"/>
    <w:rsid w:val="00254C4C"/>
    <w:rsid w:val="002550AC"/>
    <w:rsid w:val="002563EE"/>
    <w:rsid w:val="0025643F"/>
    <w:rsid w:val="002566CD"/>
    <w:rsid w:val="00256E77"/>
    <w:rsid w:val="00256E93"/>
    <w:rsid w:val="00257427"/>
    <w:rsid w:val="00260678"/>
    <w:rsid w:val="00260D0E"/>
    <w:rsid w:val="002614D2"/>
    <w:rsid w:val="00262061"/>
    <w:rsid w:val="002625DB"/>
    <w:rsid w:val="0026266B"/>
    <w:rsid w:val="00262825"/>
    <w:rsid w:val="00262994"/>
    <w:rsid w:val="00262DFF"/>
    <w:rsid w:val="002642EA"/>
    <w:rsid w:val="002645C2"/>
    <w:rsid w:val="00264781"/>
    <w:rsid w:val="00264EBF"/>
    <w:rsid w:val="0026504B"/>
    <w:rsid w:val="002657DA"/>
    <w:rsid w:val="00265CF2"/>
    <w:rsid w:val="002664CD"/>
    <w:rsid w:val="00266771"/>
    <w:rsid w:val="00266B5D"/>
    <w:rsid w:val="002670C9"/>
    <w:rsid w:val="0026714F"/>
    <w:rsid w:val="00267398"/>
    <w:rsid w:val="00267E1F"/>
    <w:rsid w:val="00270A97"/>
    <w:rsid w:val="0027148A"/>
    <w:rsid w:val="00271BD3"/>
    <w:rsid w:val="00272022"/>
    <w:rsid w:val="00272DA0"/>
    <w:rsid w:val="00272E68"/>
    <w:rsid w:val="00273F1F"/>
    <w:rsid w:val="002742A0"/>
    <w:rsid w:val="00274489"/>
    <w:rsid w:val="00274553"/>
    <w:rsid w:val="00274853"/>
    <w:rsid w:val="00274D63"/>
    <w:rsid w:val="00274E09"/>
    <w:rsid w:val="002750DD"/>
    <w:rsid w:val="0027544F"/>
    <w:rsid w:val="002755A2"/>
    <w:rsid w:val="00276513"/>
    <w:rsid w:val="0027676B"/>
    <w:rsid w:val="00276D13"/>
    <w:rsid w:val="00277200"/>
    <w:rsid w:val="00277B2B"/>
    <w:rsid w:val="002805AB"/>
    <w:rsid w:val="0028064A"/>
    <w:rsid w:val="00280C9F"/>
    <w:rsid w:val="00281098"/>
    <w:rsid w:val="00281F11"/>
    <w:rsid w:val="00282295"/>
    <w:rsid w:val="00282D27"/>
    <w:rsid w:val="00283089"/>
    <w:rsid w:val="00283640"/>
    <w:rsid w:val="00283F15"/>
    <w:rsid w:val="00284234"/>
    <w:rsid w:val="00284D37"/>
    <w:rsid w:val="00285071"/>
    <w:rsid w:val="002857F2"/>
    <w:rsid w:val="00285AF4"/>
    <w:rsid w:val="0028673D"/>
    <w:rsid w:val="002869A6"/>
    <w:rsid w:val="00286C67"/>
    <w:rsid w:val="002871A7"/>
    <w:rsid w:val="00287AF8"/>
    <w:rsid w:val="0029042F"/>
    <w:rsid w:val="00290F7D"/>
    <w:rsid w:val="00290FA9"/>
    <w:rsid w:val="00292398"/>
    <w:rsid w:val="002923EF"/>
    <w:rsid w:val="002929FA"/>
    <w:rsid w:val="002937B6"/>
    <w:rsid w:val="00294F13"/>
    <w:rsid w:val="00294F66"/>
    <w:rsid w:val="00295495"/>
    <w:rsid w:val="0029575D"/>
    <w:rsid w:val="002958E1"/>
    <w:rsid w:val="00295F51"/>
    <w:rsid w:val="00296762"/>
    <w:rsid w:val="00296EB8"/>
    <w:rsid w:val="002973C6"/>
    <w:rsid w:val="002975C5"/>
    <w:rsid w:val="00297713"/>
    <w:rsid w:val="00297D5A"/>
    <w:rsid w:val="00297F2C"/>
    <w:rsid w:val="002A0222"/>
    <w:rsid w:val="002A078A"/>
    <w:rsid w:val="002A0E35"/>
    <w:rsid w:val="002A17A7"/>
    <w:rsid w:val="002A1B1A"/>
    <w:rsid w:val="002A1E07"/>
    <w:rsid w:val="002A235A"/>
    <w:rsid w:val="002A3B8B"/>
    <w:rsid w:val="002A4078"/>
    <w:rsid w:val="002A4681"/>
    <w:rsid w:val="002A5596"/>
    <w:rsid w:val="002A6BB4"/>
    <w:rsid w:val="002A75D1"/>
    <w:rsid w:val="002A7E5A"/>
    <w:rsid w:val="002B0979"/>
    <w:rsid w:val="002B17AB"/>
    <w:rsid w:val="002B22B4"/>
    <w:rsid w:val="002B22DD"/>
    <w:rsid w:val="002B23BD"/>
    <w:rsid w:val="002B2559"/>
    <w:rsid w:val="002B277B"/>
    <w:rsid w:val="002B30EC"/>
    <w:rsid w:val="002B3293"/>
    <w:rsid w:val="002B3E76"/>
    <w:rsid w:val="002B3F50"/>
    <w:rsid w:val="002B431C"/>
    <w:rsid w:val="002B48CA"/>
    <w:rsid w:val="002B4C3E"/>
    <w:rsid w:val="002B530A"/>
    <w:rsid w:val="002B5613"/>
    <w:rsid w:val="002B5976"/>
    <w:rsid w:val="002B6E08"/>
    <w:rsid w:val="002B77BD"/>
    <w:rsid w:val="002C02CE"/>
    <w:rsid w:val="002C080A"/>
    <w:rsid w:val="002C0D7B"/>
    <w:rsid w:val="002C1067"/>
    <w:rsid w:val="002C119B"/>
    <w:rsid w:val="002C150F"/>
    <w:rsid w:val="002C1CC4"/>
    <w:rsid w:val="002C1DF2"/>
    <w:rsid w:val="002C238C"/>
    <w:rsid w:val="002C2A7B"/>
    <w:rsid w:val="002C2B87"/>
    <w:rsid w:val="002C3751"/>
    <w:rsid w:val="002C3828"/>
    <w:rsid w:val="002C39C0"/>
    <w:rsid w:val="002C3D7A"/>
    <w:rsid w:val="002C495C"/>
    <w:rsid w:val="002C51F1"/>
    <w:rsid w:val="002C594F"/>
    <w:rsid w:val="002C5ABD"/>
    <w:rsid w:val="002C5AF5"/>
    <w:rsid w:val="002C5DF6"/>
    <w:rsid w:val="002C6165"/>
    <w:rsid w:val="002C6180"/>
    <w:rsid w:val="002C6278"/>
    <w:rsid w:val="002C66AD"/>
    <w:rsid w:val="002C6D93"/>
    <w:rsid w:val="002C6EBB"/>
    <w:rsid w:val="002C7313"/>
    <w:rsid w:val="002C7F22"/>
    <w:rsid w:val="002D0267"/>
    <w:rsid w:val="002D0A79"/>
    <w:rsid w:val="002D0C38"/>
    <w:rsid w:val="002D1E52"/>
    <w:rsid w:val="002D2571"/>
    <w:rsid w:val="002D2830"/>
    <w:rsid w:val="002D2E49"/>
    <w:rsid w:val="002D2F26"/>
    <w:rsid w:val="002D3097"/>
    <w:rsid w:val="002D4F96"/>
    <w:rsid w:val="002D5687"/>
    <w:rsid w:val="002D5B83"/>
    <w:rsid w:val="002D5D0B"/>
    <w:rsid w:val="002D608A"/>
    <w:rsid w:val="002D666C"/>
    <w:rsid w:val="002D6A05"/>
    <w:rsid w:val="002D6A31"/>
    <w:rsid w:val="002D6CF4"/>
    <w:rsid w:val="002D6FF2"/>
    <w:rsid w:val="002D74A0"/>
    <w:rsid w:val="002D7E36"/>
    <w:rsid w:val="002D7ECE"/>
    <w:rsid w:val="002E038E"/>
    <w:rsid w:val="002E1272"/>
    <w:rsid w:val="002E1CCA"/>
    <w:rsid w:val="002E208B"/>
    <w:rsid w:val="002E28CE"/>
    <w:rsid w:val="002E29CB"/>
    <w:rsid w:val="002E3190"/>
    <w:rsid w:val="002E32D1"/>
    <w:rsid w:val="002E33AB"/>
    <w:rsid w:val="002E36BF"/>
    <w:rsid w:val="002E3742"/>
    <w:rsid w:val="002E3919"/>
    <w:rsid w:val="002E41B1"/>
    <w:rsid w:val="002E472E"/>
    <w:rsid w:val="002E51F6"/>
    <w:rsid w:val="002E58CF"/>
    <w:rsid w:val="002E5CDC"/>
    <w:rsid w:val="002E5D90"/>
    <w:rsid w:val="002E6417"/>
    <w:rsid w:val="002E65C5"/>
    <w:rsid w:val="002E71AB"/>
    <w:rsid w:val="002F08D9"/>
    <w:rsid w:val="002F0907"/>
    <w:rsid w:val="002F0BD4"/>
    <w:rsid w:val="002F0CD2"/>
    <w:rsid w:val="002F0EF0"/>
    <w:rsid w:val="002F1659"/>
    <w:rsid w:val="002F16EF"/>
    <w:rsid w:val="002F172B"/>
    <w:rsid w:val="002F1793"/>
    <w:rsid w:val="002F1A36"/>
    <w:rsid w:val="002F1BD9"/>
    <w:rsid w:val="002F1FA3"/>
    <w:rsid w:val="002F2279"/>
    <w:rsid w:val="002F23BB"/>
    <w:rsid w:val="002F27B2"/>
    <w:rsid w:val="002F2960"/>
    <w:rsid w:val="002F3432"/>
    <w:rsid w:val="002F3779"/>
    <w:rsid w:val="002F3F3A"/>
    <w:rsid w:val="002F4604"/>
    <w:rsid w:val="002F5002"/>
    <w:rsid w:val="002F584B"/>
    <w:rsid w:val="002F596B"/>
    <w:rsid w:val="002F70B4"/>
    <w:rsid w:val="002F7153"/>
    <w:rsid w:val="002F72D8"/>
    <w:rsid w:val="002F766B"/>
    <w:rsid w:val="002F7C2D"/>
    <w:rsid w:val="002F7CE8"/>
    <w:rsid w:val="003000DF"/>
    <w:rsid w:val="00300A97"/>
    <w:rsid w:val="00300EF4"/>
    <w:rsid w:val="003016E9"/>
    <w:rsid w:val="00302B22"/>
    <w:rsid w:val="00302E21"/>
    <w:rsid w:val="0030354D"/>
    <w:rsid w:val="0030377C"/>
    <w:rsid w:val="00303870"/>
    <w:rsid w:val="0030390A"/>
    <w:rsid w:val="003044F1"/>
    <w:rsid w:val="0030527B"/>
    <w:rsid w:val="00305300"/>
    <w:rsid w:val="00305A91"/>
    <w:rsid w:val="00305F8A"/>
    <w:rsid w:val="0030677F"/>
    <w:rsid w:val="00306D65"/>
    <w:rsid w:val="00306E34"/>
    <w:rsid w:val="00307551"/>
    <w:rsid w:val="00307A06"/>
    <w:rsid w:val="00307A8C"/>
    <w:rsid w:val="00307B77"/>
    <w:rsid w:val="00307C00"/>
    <w:rsid w:val="003100FB"/>
    <w:rsid w:val="00310358"/>
    <w:rsid w:val="003106BD"/>
    <w:rsid w:val="00310F69"/>
    <w:rsid w:val="00310FB7"/>
    <w:rsid w:val="003111DA"/>
    <w:rsid w:val="003114D9"/>
    <w:rsid w:val="0031183E"/>
    <w:rsid w:val="00311894"/>
    <w:rsid w:val="00311BDE"/>
    <w:rsid w:val="0031269E"/>
    <w:rsid w:val="00312A1F"/>
    <w:rsid w:val="00312DC6"/>
    <w:rsid w:val="00312F50"/>
    <w:rsid w:val="0031362B"/>
    <w:rsid w:val="00313B81"/>
    <w:rsid w:val="003144FB"/>
    <w:rsid w:val="0031492E"/>
    <w:rsid w:val="003149B7"/>
    <w:rsid w:val="00314A8A"/>
    <w:rsid w:val="00315394"/>
    <w:rsid w:val="00315406"/>
    <w:rsid w:val="00315813"/>
    <w:rsid w:val="003163CF"/>
    <w:rsid w:val="003168C6"/>
    <w:rsid w:val="00316C67"/>
    <w:rsid w:val="003178D1"/>
    <w:rsid w:val="00317E14"/>
    <w:rsid w:val="003209D6"/>
    <w:rsid w:val="00320A6E"/>
    <w:rsid w:val="00320B98"/>
    <w:rsid w:val="00320C57"/>
    <w:rsid w:val="0032109E"/>
    <w:rsid w:val="003210AF"/>
    <w:rsid w:val="003210C2"/>
    <w:rsid w:val="00321C80"/>
    <w:rsid w:val="0032262F"/>
    <w:rsid w:val="00323474"/>
    <w:rsid w:val="003237D0"/>
    <w:rsid w:val="00324549"/>
    <w:rsid w:val="0032559B"/>
    <w:rsid w:val="00325908"/>
    <w:rsid w:val="00325982"/>
    <w:rsid w:val="00325B8E"/>
    <w:rsid w:val="00325C57"/>
    <w:rsid w:val="00326EB3"/>
    <w:rsid w:val="00327646"/>
    <w:rsid w:val="00327ABB"/>
    <w:rsid w:val="0033049B"/>
    <w:rsid w:val="0033050B"/>
    <w:rsid w:val="00330719"/>
    <w:rsid w:val="00330E6A"/>
    <w:rsid w:val="0033138F"/>
    <w:rsid w:val="003313D4"/>
    <w:rsid w:val="00331A81"/>
    <w:rsid w:val="00331F39"/>
    <w:rsid w:val="00332C93"/>
    <w:rsid w:val="00332CBC"/>
    <w:rsid w:val="00332F61"/>
    <w:rsid w:val="00333199"/>
    <w:rsid w:val="00333252"/>
    <w:rsid w:val="00333557"/>
    <w:rsid w:val="0033364C"/>
    <w:rsid w:val="00334087"/>
    <w:rsid w:val="00334A01"/>
    <w:rsid w:val="00334A72"/>
    <w:rsid w:val="00335368"/>
    <w:rsid w:val="003360E4"/>
    <w:rsid w:val="0033622C"/>
    <w:rsid w:val="00336330"/>
    <w:rsid w:val="00336DD8"/>
    <w:rsid w:val="00337F8F"/>
    <w:rsid w:val="00340812"/>
    <w:rsid w:val="003408EF"/>
    <w:rsid w:val="00340AEE"/>
    <w:rsid w:val="00340D16"/>
    <w:rsid w:val="00341596"/>
    <w:rsid w:val="00341BFB"/>
    <w:rsid w:val="00341F69"/>
    <w:rsid w:val="0034225D"/>
    <w:rsid w:val="0034255A"/>
    <w:rsid w:val="00342644"/>
    <w:rsid w:val="00342E35"/>
    <w:rsid w:val="00343907"/>
    <w:rsid w:val="003445AF"/>
    <w:rsid w:val="00345DD4"/>
    <w:rsid w:val="003462D8"/>
    <w:rsid w:val="003468A8"/>
    <w:rsid w:val="00346B44"/>
    <w:rsid w:val="00346D6C"/>
    <w:rsid w:val="00346EE1"/>
    <w:rsid w:val="00346FD5"/>
    <w:rsid w:val="00347735"/>
    <w:rsid w:val="0035075D"/>
    <w:rsid w:val="00350AA8"/>
    <w:rsid w:val="00350E4E"/>
    <w:rsid w:val="003523E8"/>
    <w:rsid w:val="00352F1B"/>
    <w:rsid w:val="00353171"/>
    <w:rsid w:val="00353287"/>
    <w:rsid w:val="00353A2C"/>
    <w:rsid w:val="00353EA6"/>
    <w:rsid w:val="0035470E"/>
    <w:rsid w:val="00354817"/>
    <w:rsid w:val="00354A02"/>
    <w:rsid w:val="00354D44"/>
    <w:rsid w:val="00355045"/>
    <w:rsid w:val="003557FA"/>
    <w:rsid w:val="00355AE6"/>
    <w:rsid w:val="00356386"/>
    <w:rsid w:val="00356E7E"/>
    <w:rsid w:val="003579B4"/>
    <w:rsid w:val="003607AB"/>
    <w:rsid w:val="00360C37"/>
    <w:rsid w:val="00360F47"/>
    <w:rsid w:val="00360FF6"/>
    <w:rsid w:val="0036157A"/>
    <w:rsid w:val="0036174F"/>
    <w:rsid w:val="00361919"/>
    <w:rsid w:val="00361CEF"/>
    <w:rsid w:val="00361FEF"/>
    <w:rsid w:val="003621B4"/>
    <w:rsid w:val="00362277"/>
    <w:rsid w:val="00362F7F"/>
    <w:rsid w:val="0036339F"/>
    <w:rsid w:val="00363D99"/>
    <w:rsid w:val="003642B5"/>
    <w:rsid w:val="00364F2D"/>
    <w:rsid w:val="00365C74"/>
    <w:rsid w:val="00365D02"/>
    <w:rsid w:val="00365E78"/>
    <w:rsid w:val="0036692C"/>
    <w:rsid w:val="00367268"/>
    <w:rsid w:val="00367BEB"/>
    <w:rsid w:val="00370094"/>
    <w:rsid w:val="003706DD"/>
    <w:rsid w:val="00370932"/>
    <w:rsid w:val="00370A5F"/>
    <w:rsid w:val="00371310"/>
    <w:rsid w:val="0037133D"/>
    <w:rsid w:val="00371434"/>
    <w:rsid w:val="003714E8"/>
    <w:rsid w:val="0037166F"/>
    <w:rsid w:val="00372389"/>
    <w:rsid w:val="00372609"/>
    <w:rsid w:val="003730E6"/>
    <w:rsid w:val="0037316F"/>
    <w:rsid w:val="00373174"/>
    <w:rsid w:val="00374327"/>
    <w:rsid w:val="00374653"/>
    <w:rsid w:val="0037466E"/>
    <w:rsid w:val="003746D6"/>
    <w:rsid w:val="00374B3F"/>
    <w:rsid w:val="00374B46"/>
    <w:rsid w:val="00374F5B"/>
    <w:rsid w:val="00375D09"/>
    <w:rsid w:val="003762A1"/>
    <w:rsid w:val="00376496"/>
    <w:rsid w:val="00377408"/>
    <w:rsid w:val="00377BF4"/>
    <w:rsid w:val="00380311"/>
    <w:rsid w:val="0038088C"/>
    <w:rsid w:val="00380F19"/>
    <w:rsid w:val="00381BA1"/>
    <w:rsid w:val="003820B1"/>
    <w:rsid w:val="00382CD5"/>
    <w:rsid w:val="00383090"/>
    <w:rsid w:val="003830B4"/>
    <w:rsid w:val="0038319D"/>
    <w:rsid w:val="00383465"/>
    <w:rsid w:val="003839EE"/>
    <w:rsid w:val="00383D54"/>
    <w:rsid w:val="00383F54"/>
    <w:rsid w:val="00383F86"/>
    <w:rsid w:val="003840E0"/>
    <w:rsid w:val="003841E9"/>
    <w:rsid w:val="0038454F"/>
    <w:rsid w:val="0038476F"/>
    <w:rsid w:val="00384901"/>
    <w:rsid w:val="003849FA"/>
    <w:rsid w:val="00384EF4"/>
    <w:rsid w:val="003857F9"/>
    <w:rsid w:val="00385957"/>
    <w:rsid w:val="003867B8"/>
    <w:rsid w:val="00386963"/>
    <w:rsid w:val="00387FED"/>
    <w:rsid w:val="003900F1"/>
    <w:rsid w:val="003906D3"/>
    <w:rsid w:val="0039097B"/>
    <w:rsid w:val="00390AA3"/>
    <w:rsid w:val="00390D20"/>
    <w:rsid w:val="00390F26"/>
    <w:rsid w:val="00391748"/>
    <w:rsid w:val="00391870"/>
    <w:rsid w:val="00391AC9"/>
    <w:rsid w:val="00392005"/>
    <w:rsid w:val="0039240B"/>
    <w:rsid w:val="00392A4E"/>
    <w:rsid w:val="00392C7F"/>
    <w:rsid w:val="00393297"/>
    <w:rsid w:val="003934CB"/>
    <w:rsid w:val="003934ED"/>
    <w:rsid w:val="003935FC"/>
    <w:rsid w:val="0039401F"/>
    <w:rsid w:val="003949BF"/>
    <w:rsid w:val="003955D4"/>
    <w:rsid w:val="00395677"/>
    <w:rsid w:val="003957D9"/>
    <w:rsid w:val="0039610F"/>
    <w:rsid w:val="0039652A"/>
    <w:rsid w:val="00396D78"/>
    <w:rsid w:val="003971A1"/>
    <w:rsid w:val="00397280"/>
    <w:rsid w:val="003972DB"/>
    <w:rsid w:val="003A02CD"/>
    <w:rsid w:val="003A03F5"/>
    <w:rsid w:val="003A0865"/>
    <w:rsid w:val="003A09F0"/>
    <w:rsid w:val="003A111B"/>
    <w:rsid w:val="003A1A38"/>
    <w:rsid w:val="003A1D92"/>
    <w:rsid w:val="003A1F95"/>
    <w:rsid w:val="003A23F7"/>
    <w:rsid w:val="003A28B8"/>
    <w:rsid w:val="003A2C23"/>
    <w:rsid w:val="003A2CD1"/>
    <w:rsid w:val="003A3CBB"/>
    <w:rsid w:val="003A3CC4"/>
    <w:rsid w:val="003A42E6"/>
    <w:rsid w:val="003A4870"/>
    <w:rsid w:val="003A4A57"/>
    <w:rsid w:val="003A53BA"/>
    <w:rsid w:val="003A5598"/>
    <w:rsid w:val="003A5857"/>
    <w:rsid w:val="003A5E01"/>
    <w:rsid w:val="003A686F"/>
    <w:rsid w:val="003A72B0"/>
    <w:rsid w:val="003A7761"/>
    <w:rsid w:val="003A7B16"/>
    <w:rsid w:val="003B0731"/>
    <w:rsid w:val="003B07DC"/>
    <w:rsid w:val="003B091F"/>
    <w:rsid w:val="003B0ACD"/>
    <w:rsid w:val="003B0B4B"/>
    <w:rsid w:val="003B0DBF"/>
    <w:rsid w:val="003B176F"/>
    <w:rsid w:val="003B1887"/>
    <w:rsid w:val="003B1E76"/>
    <w:rsid w:val="003B24E0"/>
    <w:rsid w:val="003B2D34"/>
    <w:rsid w:val="003B31D2"/>
    <w:rsid w:val="003B324B"/>
    <w:rsid w:val="003B387B"/>
    <w:rsid w:val="003B4650"/>
    <w:rsid w:val="003B48EA"/>
    <w:rsid w:val="003B4C01"/>
    <w:rsid w:val="003B4FC0"/>
    <w:rsid w:val="003B55B1"/>
    <w:rsid w:val="003B7B04"/>
    <w:rsid w:val="003C0019"/>
    <w:rsid w:val="003C0624"/>
    <w:rsid w:val="003C0F82"/>
    <w:rsid w:val="003C1171"/>
    <w:rsid w:val="003C1480"/>
    <w:rsid w:val="003C15FF"/>
    <w:rsid w:val="003C1803"/>
    <w:rsid w:val="003C2399"/>
    <w:rsid w:val="003C28CC"/>
    <w:rsid w:val="003C2B1A"/>
    <w:rsid w:val="003C2C32"/>
    <w:rsid w:val="003C3099"/>
    <w:rsid w:val="003C3BF2"/>
    <w:rsid w:val="003C3CAB"/>
    <w:rsid w:val="003C41F4"/>
    <w:rsid w:val="003C4B47"/>
    <w:rsid w:val="003C537F"/>
    <w:rsid w:val="003C57BF"/>
    <w:rsid w:val="003C590B"/>
    <w:rsid w:val="003C5F96"/>
    <w:rsid w:val="003C655D"/>
    <w:rsid w:val="003C68DA"/>
    <w:rsid w:val="003D0074"/>
    <w:rsid w:val="003D05F0"/>
    <w:rsid w:val="003D0707"/>
    <w:rsid w:val="003D07FE"/>
    <w:rsid w:val="003D0AF4"/>
    <w:rsid w:val="003D1451"/>
    <w:rsid w:val="003D156D"/>
    <w:rsid w:val="003D15A2"/>
    <w:rsid w:val="003D1974"/>
    <w:rsid w:val="003D1B5D"/>
    <w:rsid w:val="003D1E1D"/>
    <w:rsid w:val="003D1EE3"/>
    <w:rsid w:val="003D26E5"/>
    <w:rsid w:val="003D2C66"/>
    <w:rsid w:val="003D2F13"/>
    <w:rsid w:val="003D3209"/>
    <w:rsid w:val="003D323F"/>
    <w:rsid w:val="003D3267"/>
    <w:rsid w:val="003D330D"/>
    <w:rsid w:val="003D3446"/>
    <w:rsid w:val="003D3661"/>
    <w:rsid w:val="003D3DAD"/>
    <w:rsid w:val="003D4339"/>
    <w:rsid w:val="003D4418"/>
    <w:rsid w:val="003D46BA"/>
    <w:rsid w:val="003D4887"/>
    <w:rsid w:val="003D4AEF"/>
    <w:rsid w:val="003D509E"/>
    <w:rsid w:val="003D5C4B"/>
    <w:rsid w:val="003D60CA"/>
    <w:rsid w:val="003D65F8"/>
    <w:rsid w:val="003D7765"/>
    <w:rsid w:val="003E01C0"/>
    <w:rsid w:val="003E01FE"/>
    <w:rsid w:val="003E063C"/>
    <w:rsid w:val="003E0A15"/>
    <w:rsid w:val="003E13A7"/>
    <w:rsid w:val="003E14CF"/>
    <w:rsid w:val="003E16F7"/>
    <w:rsid w:val="003E19D5"/>
    <w:rsid w:val="003E2147"/>
    <w:rsid w:val="003E2362"/>
    <w:rsid w:val="003E236A"/>
    <w:rsid w:val="003E3087"/>
    <w:rsid w:val="003E359C"/>
    <w:rsid w:val="003E39A9"/>
    <w:rsid w:val="003E465E"/>
    <w:rsid w:val="003E480C"/>
    <w:rsid w:val="003E4E94"/>
    <w:rsid w:val="003E56A4"/>
    <w:rsid w:val="003E5781"/>
    <w:rsid w:val="003E69FA"/>
    <w:rsid w:val="003E7B6F"/>
    <w:rsid w:val="003F016E"/>
    <w:rsid w:val="003F0394"/>
    <w:rsid w:val="003F0B5C"/>
    <w:rsid w:val="003F0B75"/>
    <w:rsid w:val="003F1499"/>
    <w:rsid w:val="003F2CEE"/>
    <w:rsid w:val="003F37BD"/>
    <w:rsid w:val="003F4510"/>
    <w:rsid w:val="003F4867"/>
    <w:rsid w:val="003F4987"/>
    <w:rsid w:val="003F49FE"/>
    <w:rsid w:val="003F4FE2"/>
    <w:rsid w:val="003F5509"/>
    <w:rsid w:val="003F5D68"/>
    <w:rsid w:val="003F61CC"/>
    <w:rsid w:val="003F6B31"/>
    <w:rsid w:val="003F6BB1"/>
    <w:rsid w:val="003F7159"/>
    <w:rsid w:val="003F796A"/>
    <w:rsid w:val="00400080"/>
    <w:rsid w:val="00400277"/>
    <w:rsid w:val="0040094B"/>
    <w:rsid w:val="004009DF"/>
    <w:rsid w:val="00400ACC"/>
    <w:rsid w:val="00400B9C"/>
    <w:rsid w:val="0040235F"/>
    <w:rsid w:val="004029A0"/>
    <w:rsid w:val="00402EEC"/>
    <w:rsid w:val="00403029"/>
    <w:rsid w:val="00403A57"/>
    <w:rsid w:val="00404869"/>
    <w:rsid w:val="00404C1C"/>
    <w:rsid w:val="004057F7"/>
    <w:rsid w:val="00405A3D"/>
    <w:rsid w:val="00405EF0"/>
    <w:rsid w:val="00406A0F"/>
    <w:rsid w:val="0040752C"/>
    <w:rsid w:val="00407C5D"/>
    <w:rsid w:val="0041033C"/>
    <w:rsid w:val="004106FD"/>
    <w:rsid w:val="0041105E"/>
    <w:rsid w:val="004111A4"/>
    <w:rsid w:val="00411A22"/>
    <w:rsid w:val="00411C59"/>
    <w:rsid w:val="004126B2"/>
    <w:rsid w:val="00412C1E"/>
    <w:rsid w:val="0041300D"/>
    <w:rsid w:val="004130BD"/>
    <w:rsid w:val="00413973"/>
    <w:rsid w:val="004143EC"/>
    <w:rsid w:val="00415227"/>
    <w:rsid w:val="004156A2"/>
    <w:rsid w:val="00415D0F"/>
    <w:rsid w:val="00415DB2"/>
    <w:rsid w:val="00415DD1"/>
    <w:rsid w:val="0041639E"/>
    <w:rsid w:val="00416402"/>
    <w:rsid w:val="0041688C"/>
    <w:rsid w:val="00416CFD"/>
    <w:rsid w:val="00416DC6"/>
    <w:rsid w:val="00416E05"/>
    <w:rsid w:val="00417124"/>
    <w:rsid w:val="00417387"/>
    <w:rsid w:val="00417758"/>
    <w:rsid w:val="00420049"/>
    <w:rsid w:val="00420716"/>
    <w:rsid w:val="00420C72"/>
    <w:rsid w:val="00420F82"/>
    <w:rsid w:val="00421645"/>
    <w:rsid w:val="00421993"/>
    <w:rsid w:val="00421A03"/>
    <w:rsid w:val="00422513"/>
    <w:rsid w:val="004227D3"/>
    <w:rsid w:val="004228C8"/>
    <w:rsid w:val="0042345A"/>
    <w:rsid w:val="00423615"/>
    <w:rsid w:val="00423BB4"/>
    <w:rsid w:val="004240AC"/>
    <w:rsid w:val="00424689"/>
    <w:rsid w:val="00425A58"/>
    <w:rsid w:val="00425AA9"/>
    <w:rsid w:val="00425AE2"/>
    <w:rsid w:val="00425B4C"/>
    <w:rsid w:val="00426396"/>
    <w:rsid w:val="004268F0"/>
    <w:rsid w:val="004269E7"/>
    <w:rsid w:val="00426ADE"/>
    <w:rsid w:val="0042745B"/>
    <w:rsid w:val="00427657"/>
    <w:rsid w:val="00427662"/>
    <w:rsid w:val="00427D07"/>
    <w:rsid w:val="00427F92"/>
    <w:rsid w:val="00431A19"/>
    <w:rsid w:val="00431D34"/>
    <w:rsid w:val="00432078"/>
    <w:rsid w:val="00432534"/>
    <w:rsid w:val="00432AEB"/>
    <w:rsid w:val="00432E63"/>
    <w:rsid w:val="00433019"/>
    <w:rsid w:val="0043336E"/>
    <w:rsid w:val="004338CC"/>
    <w:rsid w:val="00433D69"/>
    <w:rsid w:val="004343CF"/>
    <w:rsid w:val="00436D1C"/>
    <w:rsid w:val="00436E54"/>
    <w:rsid w:val="00437DBC"/>
    <w:rsid w:val="00440109"/>
    <w:rsid w:val="00440702"/>
    <w:rsid w:val="0044132C"/>
    <w:rsid w:val="00441E71"/>
    <w:rsid w:val="00441EA3"/>
    <w:rsid w:val="00441F20"/>
    <w:rsid w:val="00442CD7"/>
    <w:rsid w:val="0044375B"/>
    <w:rsid w:val="00443A23"/>
    <w:rsid w:val="0044411D"/>
    <w:rsid w:val="004443B7"/>
    <w:rsid w:val="00444651"/>
    <w:rsid w:val="00444B8A"/>
    <w:rsid w:val="00444D6C"/>
    <w:rsid w:val="00444FAB"/>
    <w:rsid w:val="0044583C"/>
    <w:rsid w:val="00445885"/>
    <w:rsid w:val="00445D42"/>
    <w:rsid w:val="00445F77"/>
    <w:rsid w:val="00446EF7"/>
    <w:rsid w:val="004470F6"/>
    <w:rsid w:val="00447833"/>
    <w:rsid w:val="00450064"/>
    <w:rsid w:val="0045079F"/>
    <w:rsid w:val="00450972"/>
    <w:rsid w:val="00450DAC"/>
    <w:rsid w:val="00451738"/>
    <w:rsid w:val="004517DA"/>
    <w:rsid w:val="00451C7F"/>
    <w:rsid w:val="00451FDA"/>
    <w:rsid w:val="00452311"/>
    <w:rsid w:val="004526CD"/>
    <w:rsid w:val="00453913"/>
    <w:rsid w:val="00454CE9"/>
    <w:rsid w:val="004556B4"/>
    <w:rsid w:val="004556CD"/>
    <w:rsid w:val="00455BBE"/>
    <w:rsid w:val="00456058"/>
    <w:rsid w:val="00456C07"/>
    <w:rsid w:val="00456C76"/>
    <w:rsid w:val="004577A7"/>
    <w:rsid w:val="004605CE"/>
    <w:rsid w:val="0046092F"/>
    <w:rsid w:val="004610DB"/>
    <w:rsid w:val="004620D7"/>
    <w:rsid w:val="00462A8C"/>
    <w:rsid w:val="00463651"/>
    <w:rsid w:val="004638A4"/>
    <w:rsid w:val="00463F4B"/>
    <w:rsid w:val="00463FCF"/>
    <w:rsid w:val="00464B52"/>
    <w:rsid w:val="00464D4A"/>
    <w:rsid w:val="00464E52"/>
    <w:rsid w:val="0046576C"/>
    <w:rsid w:val="00465E9A"/>
    <w:rsid w:val="004666F4"/>
    <w:rsid w:val="00466C15"/>
    <w:rsid w:val="00467268"/>
    <w:rsid w:val="00467996"/>
    <w:rsid w:val="00467B5B"/>
    <w:rsid w:val="00467C9D"/>
    <w:rsid w:val="00467D96"/>
    <w:rsid w:val="0047081D"/>
    <w:rsid w:val="00471061"/>
    <w:rsid w:val="004712E7"/>
    <w:rsid w:val="00471A67"/>
    <w:rsid w:val="004721B2"/>
    <w:rsid w:val="00472B8C"/>
    <w:rsid w:val="004731C6"/>
    <w:rsid w:val="004737BD"/>
    <w:rsid w:val="00473B2B"/>
    <w:rsid w:val="00473D29"/>
    <w:rsid w:val="00473E40"/>
    <w:rsid w:val="00473EE8"/>
    <w:rsid w:val="00474677"/>
    <w:rsid w:val="00475255"/>
    <w:rsid w:val="004753BA"/>
    <w:rsid w:val="00475473"/>
    <w:rsid w:val="004767C4"/>
    <w:rsid w:val="00476C47"/>
    <w:rsid w:val="00476FE3"/>
    <w:rsid w:val="00477890"/>
    <w:rsid w:val="00480322"/>
    <w:rsid w:val="004807C2"/>
    <w:rsid w:val="00480D32"/>
    <w:rsid w:val="00482045"/>
    <w:rsid w:val="00482CB5"/>
    <w:rsid w:val="0048373E"/>
    <w:rsid w:val="00483865"/>
    <w:rsid w:val="00483C2B"/>
    <w:rsid w:val="004842B8"/>
    <w:rsid w:val="004844B9"/>
    <w:rsid w:val="00485F0B"/>
    <w:rsid w:val="00486590"/>
    <w:rsid w:val="00486658"/>
    <w:rsid w:val="00486797"/>
    <w:rsid w:val="00486D39"/>
    <w:rsid w:val="00486E19"/>
    <w:rsid w:val="004872B4"/>
    <w:rsid w:val="00487F00"/>
    <w:rsid w:val="00490136"/>
    <w:rsid w:val="004903C1"/>
    <w:rsid w:val="004906BA"/>
    <w:rsid w:val="00490A10"/>
    <w:rsid w:val="00490DB5"/>
    <w:rsid w:val="0049130F"/>
    <w:rsid w:val="004915F9"/>
    <w:rsid w:val="004917B8"/>
    <w:rsid w:val="00491888"/>
    <w:rsid w:val="00492CA3"/>
    <w:rsid w:val="00492DFA"/>
    <w:rsid w:val="00493409"/>
    <w:rsid w:val="004934F2"/>
    <w:rsid w:val="00494FC3"/>
    <w:rsid w:val="00494FCC"/>
    <w:rsid w:val="004951CC"/>
    <w:rsid w:val="00495A7F"/>
    <w:rsid w:val="00496345"/>
    <w:rsid w:val="00496735"/>
    <w:rsid w:val="00497042"/>
    <w:rsid w:val="004970D2"/>
    <w:rsid w:val="004973F4"/>
    <w:rsid w:val="00497F18"/>
    <w:rsid w:val="00497F72"/>
    <w:rsid w:val="004A0935"/>
    <w:rsid w:val="004A0C77"/>
    <w:rsid w:val="004A10B4"/>
    <w:rsid w:val="004A1369"/>
    <w:rsid w:val="004A1692"/>
    <w:rsid w:val="004A178C"/>
    <w:rsid w:val="004A20F3"/>
    <w:rsid w:val="004A215B"/>
    <w:rsid w:val="004A2DF1"/>
    <w:rsid w:val="004A31C0"/>
    <w:rsid w:val="004A49F4"/>
    <w:rsid w:val="004A52AF"/>
    <w:rsid w:val="004A573E"/>
    <w:rsid w:val="004A574D"/>
    <w:rsid w:val="004A5DA0"/>
    <w:rsid w:val="004A6002"/>
    <w:rsid w:val="004A638A"/>
    <w:rsid w:val="004A6513"/>
    <w:rsid w:val="004A7200"/>
    <w:rsid w:val="004A730F"/>
    <w:rsid w:val="004A7AAA"/>
    <w:rsid w:val="004B0BD9"/>
    <w:rsid w:val="004B12AC"/>
    <w:rsid w:val="004B1989"/>
    <w:rsid w:val="004B21E8"/>
    <w:rsid w:val="004B221A"/>
    <w:rsid w:val="004B24FF"/>
    <w:rsid w:val="004B2CFD"/>
    <w:rsid w:val="004B3191"/>
    <w:rsid w:val="004B3481"/>
    <w:rsid w:val="004B398A"/>
    <w:rsid w:val="004B4032"/>
    <w:rsid w:val="004B4784"/>
    <w:rsid w:val="004B52C6"/>
    <w:rsid w:val="004B5612"/>
    <w:rsid w:val="004B5775"/>
    <w:rsid w:val="004B5B3A"/>
    <w:rsid w:val="004B5DF4"/>
    <w:rsid w:val="004B67F6"/>
    <w:rsid w:val="004B695A"/>
    <w:rsid w:val="004B7197"/>
    <w:rsid w:val="004B7564"/>
    <w:rsid w:val="004B7EB2"/>
    <w:rsid w:val="004C0A01"/>
    <w:rsid w:val="004C0E0C"/>
    <w:rsid w:val="004C1EC0"/>
    <w:rsid w:val="004C2123"/>
    <w:rsid w:val="004C2232"/>
    <w:rsid w:val="004C2289"/>
    <w:rsid w:val="004C252D"/>
    <w:rsid w:val="004C2965"/>
    <w:rsid w:val="004C2A2B"/>
    <w:rsid w:val="004C30D5"/>
    <w:rsid w:val="004C4D9A"/>
    <w:rsid w:val="004C5174"/>
    <w:rsid w:val="004C5A52"/>
    <w:rsid w:val="004C6025"/>
    <w:rsid w:val="004C64B3"/>
    <w:rsid w:val="004C6959"/>
    <w:rsid w:val="004C6C91"/>
    <w:rsid w:val="004C6E30"/>
    <w:rsid w:val="004C72B3"/>
    <w:rsid w:val="004C76AF"/>
    <w:rsid w:val="004C7B25"/>
    <w:rsid w:val="004C7F4F"/>
    <w:rsid w:val="004D000E"/>
    <w:rsid w:val="004D04B6"/>
    <w:rsid w:val="004D0CCA"/>
    <w:rsid w:val="004D1AF6"/>
    <w:rsid w:val="004D1C0F"/>
    <w:rsid w:val="004D2172"/>
    <w:rsid w:val="004D2912"/>
    <w:rsid w:val="004D2CE8"/>
    <w:rsid w:val="004D2F28"/>
    <w:rsid w:val="004D2F77"/>
    <w:rsid w:val="004D33EB"/>
    <w:rsid w:val="004D3504"/>
    <w:rsid w:val="004D4BF3"/>
    <w:rsid w:val="004D4C51"/>
    <w:rsid w:val="004D5839"/>
    <w:rsid w:val="004D5A93"/>
    <w:rsid w:val="004D5E1A"/>
    <w:rsid w:val="004D660D"/>
    <w:rsid w:val="004D7150"/>
    <w:rsid w:val="004D7505"/>
    <w:rsid w:val="004D7B40"/>
    <w:rsid w:val="004E03E1"/>
    <w:rsid w:val="004E0494"/>
    <w:rsid w:val="004E0529"/>
    <w:rsid w:val="004E1E0D"/>
    <w:rsid w:val="004E1F38"/>
    <w:rsid w:val="004E1FBE"/>
    <w:rsid w:val="004E27ED"/>
    <w:rsid w:val="004E2C81"/>
    <w:rsid w:val="004E3534"/>
    <w:rsid w:val="004E35A7"/>
    <w:rsid w:val="004E3EA2"/>
    <w:rsid w:val="004E436D"/>
    <w:rsid w:val="004E4421"/>
    <w:rsid w:val="004E4729"/>
    <w:rsid w:val="004E4786"/>
    <w:rsid w:val="004E5036"/>
    <w:rsid w:val="004E504D"/>
    <w:rsid w:val="004E5258"/>
    <w:rsid w:val="004E5392"/>
    <w:rsid w:val="004E57CA"/>
    <w:rsid w:val="004E582A"/>
    <w:rsid w:val="004E6FAD"/>
    <w:rsid w:val="004E7179"/>
    <w:rsid w:val="004E738E"/>
    <w:rsid w:val="004E7B90"/>
    <w:rsid w:val="004F000F"/>
    <w:rsid w:val="004F08BD"/>
    <w:rsid w:val="004F0BC4"/>
    <w:rsid w:val="004F2352"/>
    <w:rsid w:val="004F25EF"/>
    <w:rsid w:val="004F2DDE"/>
    <w:rsid w:val="004F3A29"/>
    <w:rsid w:val="004F3D99"/>
    <w:rsid w:val="004F3D9D"/>
    <w:rsid w:val="004F49CE"/>
    <w:rsid w:val="004F5554"/>
    <w:rsid w:val="004F5B97"/>
    <w:rsid w:val="004F5BDB"/>
    <w:rsid w:val="004F6AD5"/>
    <w:rsid w:val="004F7131"/>
    <w:rsid w:val="004F7A5F"/>
    <w:rsid w:val="004F7CA3"/>
    <w:rsid w:val="004F7CB7"/>
    <w:rsid w:val="004F7D37"/>
    <w:rsid w:val="00500821"/>
    <w:rsid w:val="00500A2A"/>
    <w:rsid w:val="00500DC1"/>
    <w:rsid w:val="00500EA3"/>
    <w:rsid w:val="005011B0"/>
    <w:rsid w:val="005011D2"/>
    <w:rsid w:val="00501A0A"/>
    <w:rsid w:val="00502210"/>
    <w:rsid w:val="005022FD"/>
    <w:rsid w:val="00503E3C"/>
    <w:rsid w:val="00504A6F"/>
    <w:rsid w:val="00504F6D"/>
    <w:rsid w:val="005050B1"/>
    <w:rsid w:val="0050582C"/>
    <w:rsid w:val="00505CBD"/>
    <w:rsid w:val="00505E2F"/>
    <w:rsid w:val="0050645E"/>
    <w:rsid w:val="0050648C"/>
    <w:rsid w:val="00506610"/>
    <w:rsid w:val="00506B69"/>
    <w:rsid w:val="00506C12"/>
    <w:rsid w:val="00506DDA"/>
    <w:rsid w:val="005073E1"/>
    <w:rsid w:val="00507799"/>
    <w:rsid w:val="00507876"/>
    <w:rsid w:val="005100C9"/>
    <w:rsid w:val="0051120A"/>
    <w:rsid w:val="005112DF"/>
    <w:rsid w:val="0051168E"/>
    <w:rsid w:val="005117C4"/>
    <w:rsid w:val="00511C73"/>
    <w:rsid w:val="00511EF4"/>
    <w:rsid w:val="00512CF0"/>
    <w:rsid w:val="0051343C"/>
    <w:rsid w:val="00513B45"/>
    <w:rsid w:val="00514937"/>
    <w:rsid w:val="00514D41"/>
    <w:rsid w:val="005152EB"/>
    <w:rsid w:val="005159E6"/>
    <w:rsid w:val="00515BCD"/>
    <w:rsid w:val="00515CCB"/>
    <w:rsid w:val="0051785F"/>
    <w:rsid w:val="0051793E"/>
    <w:rsid w:val="005202CE"/>
    <w:rsid w:val="0052062C"/>
    <w:rsid w:val="00520C49"/>
    <w:rsid w:val="00521210"/>
    <w:rsid w:val="0052134E"/>
    <w:rsid w:val="00521B30"/>
    <w:rsid w:val="005226BD"/>
    <w:rsid w:val="00522A8C"/>
    <w:rsid w:val="00522CB7"/>
    <w:rsid w:val="00522D3F"/>
    <w:rsid w:val="00523674"/>
    <w:rsid w:val="005245FB"/>
    <w:rsid w:val="005252F5"/>
    <w:rsid w:val="00525B56"/>
    <w:rsid w:val="00525ED1"/>
    <w:rsid w:val="00526680"/>
    <w:rsid w:val="005270A7"/>
    <w:rsid w:val="00527290"/>
    <w:rsid w:val="0052757E"/>
    <w:rsid w:val="005277AF"/>
    <w:rsid w:val="005278DC"/>
    <w:rsid w:val="00527E1F"/>
    <w:rsid w:val="005302EF"/>
    <w:rsid w:val="00530704"/>
    <w:rsid w:val="0053070E"/>
    <w:rsid w:val="00530715"/>
    <w:rsid w:val="005310D2"/>
    <w:rsid w:val="00531494"/>
    <w:rsid w:val="0053253B"/>
    <w:rsid w:val="00532F15"/>
    <w:rsid w:val="00532F3A"/>
    <w:rsid w:val="00533352"/>
    <w:rsid w:val="0053458C"/>
    <w:rsid w:val="00534C8A"/>
    <w:rsid w:val="00535711"/>
    <w:rsid w:val="00535AD8"/>
    <w:rsid w:val="00535CB7"/>
    <w:rsid w:val="00535EFD"/>
    <w:rsid w:val="00536659"/>
    <w:rsid w:val="0053730A"/>
    <w:rsid w:val="00540B9F"/>
    <w:rsid w:val="00540FA6"/>
    <w:rsid w:val="00541082"/>
    <w:rsid w:val="00541197"/>
    <w:rsid w:val="0054137C"/>
    <w:rsid w:val="00542007"/>
    <w:rsid w:val="0054228B"/>
    <w:rsid w:val="005429BB"/>
    <w:rsid w:val="00542FDB"/>
    <w:rsid w:val="00543555"/>
    <w:rsid w:val="005439BA"/>
    <w:rsid w:val="00543D6A"/>
    <w:rsid w:val="00544229"/>
    <w:rsid w:val="00544A0E"/>
    <w:rsid w:val="00544A39"/>
    <w:rsid w:val="00544DCD"/>
    <w:rsid w:val="005458A3"/>
    <w:rsid w:val="005458F7"/>
    <w:rsid w:val="00546947"/>
    <w:rsid w:val="00546B19"/>
    <w:rsid w:val="00547313"/>
    <w:rsid w:val="005473C2"/>
    <w:rsid w:val="005478B3"/>
    <w:rsid w:val="00547DCC"/>
    <w:rsid w:val="00547FFB"/>
    <w:rsid w:val="0055073A"/>
    <w:rsid w:val="005508C9"/>
    <w:rsid w:val="00550E45"/>
    <w:rsid w:val="00551F53"/>
    <w:rsid w:val="00552224"/>
    <w:rsid w:val="00553043"/>
    <w:rsid w:val="0055347F"/>
    <w:rsid w:val="00553877"/>
    <w:rsid w:val="0055390F"/>
    <w:rsid w:val="00553F20"/>
    <w:rsid w:val="0055405B"/>
    <w:rsid w:val="0055487D"/>
    <w:rsid w:val="00554DDA"/>
    <w:rsid w:val="00555117"/>
    <w:rsid w:val="005558F5"/>
    <w:rsid w:val="00555A2C"/>
    <w:rsid w:val="00555E9C"/>
    <w:rsid w:val="005560E7"/>
    <w:rsid w:val="0055654B"/>
    <w:rsid w:val="00557630"/>
    <w:rsid w:val="005601DE"/>
    <w:rsid w:val="0056021B"/>
    <w:rsid w:val="005602A6"/>
    <w:rsid w:val="005602C3"/>
    <w:rsid w:val="00560339"/>
    <w:rsid w:val="00560584"/>
    <w:rsid w:val="0056253C"/>
    <w:rsid w:val="005628B1"/>
    <w:rsid w:val="005633EC"/>
    <w:rsid w:val="005636C3"/>
    <w:rsid w:val="00563E1E"/>
    <w:rsid w:val="00564313"/>
    <w:rsid w:val="0056436B"/>
    <w:rsid w:val="00565848"/>
    <w:rsid w:val="005658D1"/>
    <w:rsid w:val="0056590A"/>
    <w:rsid w:val="00565FF8"/>
    <w:rsid w:val="00566146"/>
    <w:rsid w:val="005662D1"/>
    <w:rsid w:val="0056634F"/>
    <w:rsid w:val="0056647C"/>
    <w:rsid w:val="0056665F"/>
    <w:rsid w:val="005667C6"/>
    <w:rsid w:val="00566861"/>
    <w:rsid w:val="005670A5"/>
    <w:rsid w:val="0056748D"/>
    <w:rsid w:val="0056798E"/>
    <w:rsid w:val="0057068D"/>
    <w:rsid w:val="00571CA2"/>
    <w:rsid w:val="00571E6E"/>
    <w:rsid w:val="00571F4D"/>
    <w:rsid w:val="005726F4"/>
    <w:rsid w:val="005729D1"/>
    <w:rsid w:val="00572A3E"/>
    <w:rsid w:val="005733B5"/>
    <w:rsid w:val="00573812"/>
    <w:rsid w:val="00574894"/>
    <w:rsid w:val="005749EA"/>
    <w:rsid w:val="00575656"/>
    <w:rsid w:val="0057577D"/>
    <w:rsid w:val="00575C87"/>
    <w:rsid w:val="00576316"/>
    <w:rsid w:val="005766D3"/>
    <w:rsid w:val="00576BA2"/>
    <w:rsid w:val="005771D2"/>
    <w:rsid w:val="00577281"/>
    <w:rsid w:val="00577478"/>
    <w:rsid w:val="00577BC1"/>
    <w:rsid w:val="00580778"/>
    <w:rsid w:val="00580AD2"/>
    <w:rsid w:val="00580B30"/>
    <w:rsid w:val="00581073"/>
    <w:rsid w:val="00582E3B"/>
    <w:rsid w:val="0058347F"/>
    <w:rsid w:val="005837D5"/>
    <w:rsid w:val="00583C34"/>
    <w:rsid w:val="00584063"/>
    <w:rsid w:val="0058416B"/>
    <w:rsid w:val="00584544"/>
    <w:rsid w:val="005845E7"/>
    <w:rsid w:val="00585574"/>
    <w:rsid w:val="00585660"/>
    <w:rsid w:val="00585C4D"/>
    <w:rsid w:val="005864E7"/>
    <w:rsid w:val="00586B5A"/>
    <w:rsid w:val="0058727D"/>
    <w:rsid w:val="005873A3"/>
    <w:rsid w:val="00590660"/>
    <w:rsid w:val="00590876"/>
    <w:rsid w:val="00590D7E"/>
    <w:rsid w:val="00590F47"/>
    <w:rsid w:val="005910AB"/>
    <w:rsid w:val="00591911"/>
    <w:rsid w:val="00591E9C"/>
    <w:rsid w:val="00592224"/>
    <w:rsid w:val="0059271E"/>
    <w:rsid w:val="0059357C"/>
    <w:rsid w:val="00593889"/>
    <w:rsid w:val="00593DEB"/>
    <w:rsid w:val="00594607"/>
    <w:rsid w:val="00594BA3"/>
    <w:rsid w:val="00594F4D"/>
    <w:rsid w:val="00595839"/>
    <w:rsid w:val="00595886"/>
    <w:rsid w:val="00596A16"/>
    <w:rsid w:val="00596BF5"/>
    <w:rsid w:val="0059702F"/>
    <w:rsid w:val="005A09C9"/>
    <w:rsid w:val="005A0F3A"/>
    <w:rsid w:val="005A10BB"/>
    <w:rsid w:val="005A11F5"/>
    <w:rsid w:val="005A144A"/>
    <w:rsid w:val="005A22F9"/>
    <w:rsid w:val="005A2CE5"/>
    <w:rsid w:val="005A30EC"/>
    <w:rsid w:val="005A3116"/>
    <w:rsid w:val="005A3606"/>
    <w:rsid w:val="005A37AB"/>
    <w:rsid w:val="005A476B"/>
    <w:rsid w:val="005A4A09"/>
    <w:rsid w:val="005A510F"/>
    <w:rsid w:val="005A5257"/>
    <w:rsid w:val="005A538E"/>
    <w:rsid w:val="005A538F"/>
    <w:rsid w:val="005A5E8B"/>
    <w:rsid w:val="005A6132"/>
    <w:rsid w:val="005A632B"/>
    <w:rsid w:val="005A67E4"/>
    <w:rsid w:val="005A723B"/>
    <w:rsid w:val="005A749A"/>
    <w:rsid w:val="005A7624"/>
    <w:rsid w:val="005B0105"/>
    <w:rsid w:val="005B02D3"/>
    <w:rsid w:val="005B05D4"/>
    <w:rsid w:val="005B07D5"/>
    <w:rsid w:val="005B12DD"/>
    <w:rsid w:val="005B2728"/>
    <w:rsid w:val="005B2736"/>
    <w:rsid w:val="005B35C8"/>
    <w:rsid w:val="005B35D5"/>
    <w:rsid w:val="005B38F7"/>
    <w:rsid w:val="005B3D5F"/>
    <w:rsid w:val="005B44B2"/>
    <w:rsid w:val="005B5CF1"/>
    <w:rsid w:val="005B6234"/>
    <w:rsid w:val="005B693C"/>
    <w:rsid w:val="005B6986"/>
    <w:rsid w:val="005B6EC3"/>
    <w:rsid w:val="005B78D7"/>
    <w:rsid w:val="005B79D6"/>
    <w:rsid w:val="005C06FE"/>
    <w:rsid w:val="005C0813"/>
    <w:rsid w:val="005C08B1"/>
    <w:rsid w:val="005C0E0A"/>
    <w:rsid w:val="005C0FD0"/>
    <w:rsid w:val="005C1978"/>
    <w:rsid w:val="005C1E85"/>
    <w:rsid w:val="005C2314"/>
    <w:rsid w:val="005C38D5"/>
    <w:rsid w:val="005C3B6E"/>
    <w:rsid w:val="005C450B"/>
    <w:rsid w:val="005C4834"/>
    <w:rsid w:val="005C518A"/>
    <w:rsid w:val="005C53D9"/>
    <w:rsid w:val="005C57F7"/>
    <w:rsid w:val="005C5D4C"/>
    <w:rsid w:val="005C6525"/>
    <w:rsid w:val="005C6D65"/>
    <w:rsid w:val="005C7CAD"/>
    <w:rsid w:val="005D0791"/>
    <w:rsid w:val="005D0C10"/>
    <w:rsid w:val="005D0D3B"/>
    <w:rsid w:val="005D136D"/>
    <w:rsid w:val="005D1DFF"/>
    <w:rsid w:val="005D1EBE"/>
    <w:rsid w:val="005D2926"/>
    <w:rsid w:val="005D2F0C"/>
    <w:rsid w:val="005D3303"/>
    <w:rsid w:val="005D3507"/>
    <w:rsid w:val="005D4233"/>
    <w:rsid w:val="005D42E8"/>
    <w:rsid w:val="005D42E9"/>
    <w:rsid w:val="005D4D41"/>
    <w:rsid w:val="005D52B2"/>
    <w:rsid w:val="005D52ED"/>
    <w:rsid w:val="005D5346"/>
    <w:rsid w:val="005D537A"/>
    <w:rsid w:val="005D5607"/>
    <w:rsid w:val="005D5D4F"/>
    <w:rsid w:val="005D5F74"/>
    <w:rsid w:val="005D6167"/>
    <w:rsid w:val="005D7664"/>
    <w:rsid w:val="005D7828"/>
    <w:rsid w:val="005D7BF9"/>
    <w:rsid w:val="005E0B60"/>
    <w:rsid w:val="005E0C0B"/>
    <w:rsid w:val="005E1229"/>
    <w:rsid w:val="005E124D"/>
    <w:rsid w:val="005E137E"/>
    <w:rsid w:val="005E14E2"/>
    <w:rsid w:val="005E18C7"/>
    <w:rsid w:val="005E18D3"/>
    <w:rsid w:val="005E213A"/>
    <w:rsid w:val="005E218A"/>
    <w:rsid w:val="005E3113"/>
    <w:rsid w:val="005E3957"/>
    <w:rsid w:val="005E420C"/>
    <w:rsid w:val="005E4BCA"/>
    <w:rsid w:val="005E636D"/>
    <w:rsid w:val="005E663E"/>
    <w:rsid w:val="005E6881"/>
    <w:rsid w:val="005E7DDA"/>
    <w:rsid w:val="005F06E2"/>
    <w:rsid w:val="005F0C8F"/>
    <w:rsid w:val="005F1A3A"/>
    <w:rsid w:val="005F2F76"/>
    <w:rsid w:val="005F37CB"/>
    <w:rsid w:val="005F3ACE"/>
    <w:rsid w:val="005F3B3C"/>
    <w:rsid w:val="005F3D63"/>
    <w:rsid w:val="005F449E"/>
    <w:rsid w:val="005F47E1"/>
    <w:rsid w:val="005F4F06"/>
    <w:rsid w:val="005F51C3"/>
    <w:rsid w:val="005F5257"/>
    <w:rsid w:val="005F67E2"/>
    <w:rsid w:val="005F689B"/>
    <w:rsid w:val="005F7152"/>
    <w:rsid w:val="005F71CE"/>
    <w:rsid w:val="005F74A5"/>
    <w:rsid w:val="00600244"/>
    <w:rsid w:val="0060099A"/>
    <w:rsid w:val="00600C10"/>
    <w:rsid w:val="00600D76"/>
    <w:rsid w:val="00600DE9"/>
    <w:rsid w:val="00600E6F"/>
    <w:rsid w:val="00601B92"/>
    <w:rsid w:val="00601FE3"/>
    <w:rsid w:val="00602155"/>
    <w:rsid w:val="0060228A"/>
    <w:rsid w:val="00602D25"/>
    <w:rsid w:val="006030D7"/>
    <w:rsid w:val="0060357A"/>
    <w:rsid w:val="006038AF"/>
    <w:rsid w:val="00603C46"/>
    <w:rsid w:val="00603E6B"/>
    <w:rsid w:val="00604A1F"/>
    <w:rsid w:val="00604E89"/>
    <w:rsid w:val="00604FAB"/>
    <w:rsid w:val="0060542A"/>
    <w:rsid w:val="00605E3E"/>
    <w:rsid w:val="00605FD5"/>
    <w:rsid w:val="006064DE"/>
    <w:rsid w:val="00606B9F"/>
    <w:rsid w:val="00606C16"/>
    <w:rsid w:val="00606DE2"/>
    <w:rsid w:val="00606E80"/>
    <w:rsid w:val="00606FBA"/>
    <w:rsid w:val="006108B3"/>
    <w:rsid w:val="00610E70"/>
    <w:rsid w:val="0061146B"/>
    <w:rsid w:val="006115B1"/>
    <w:rsid w:val="0061210B"/>
    <w:rsid w:val="0061220A"/>
    <w:rsid w:val="006125CF"/>
    <w:rsid w:val="00612ABB"/>
    <w:rsid w:val="00612D16"/>
    <w:rsid w:val="00612F84"/>
    <w:rsid w:val="0061317D"/>
    <w:rsid w:val="006135CA"/>
    <w:rsid w:val="00614461"/>
    <w:rsid w:val="006146BE"/>
    <w:rsid w:val="0061491F"/>
    <w:rsid w:val="00614BB7"/>
    <w:rsid w:val="00614DA3"/>
    <w:rsid w:val="00615266"/>
    <w:rsid w:val="00615489"/>
    <w:rsid w:val="00615614"/>
    <w:rsid w:val="00615BD6"/>
    <w:rsid w:val="00615F07"/>
    <w:rsid w:val="0061672B"/>
    <w:rsid w:val="00616C76"/>
    <w:rsid w:val="00616F78"/>
    <w:rsid w:val="00620932"/>
    <w:rsid w:val="00620D9B"/>
    <w:rsid w:val="006212F3"/>
    <w:rsid w:val="0062166D"/>
    <w:rsid w:val="006217A8"/>
    <w:rsid w:val="00621C8F"/>
    <w:rsid w:val="00622290"/>
    <w:rsid w:val="00622C26"/>
    <w:rsid w:val="00623284"/>
    <w:rsid w:val="0062336D"/>
    <w:rsid w:val="00623617"/>
    <w:rsid w:val="0062390B"/>
    <w:rsid w:val="00623D28"/>
    <w:rsid w:val="006241FC"/>
    <w:rsid w:val="00624C51"/>
    <w:rsid w:val="006256A0"/>
    <w:rsid w:val="00625EB3"/>
    <w:rsid w:val="0062697E"/>
    <w:rsid w:val="00626D2A"/>
    <w:rsid w:val="006278CE"/>
    <w:rsid w:val="00627CE1"/>
    <w:rsid w:val="0063082A"/>
    <w:rsid w:val="00630E28"/>
    <w:rsid w:val="006311F5"/>
    <w:rsid w:val="00631A9A"/>
    <w:rsid w:val="00631E36"/>
    <w:rsid w:val="00632507"/>
    <w:rsid w:val="00632663"/>
    <w:rsid w:val="006330EF"/>
    <w:rsid w:val="00633B59"/>
    <w:rsid w:val="006345A7"/>
    <w:rsid w:val="00634D85"/>
    <w:rsid w:val="00635065"/>
    <w:rsid w:val="006352CC"/>
    <w:rsid w:val="00635354"/>
    <w:rsid w:val="00635600"/>
    <w:rsid w:val="00635790"/>
    <w:rsid w:val="006357A1"/>
    <w:rsid w:val="00635EBD"/>
    <w:rsid w:val="006364BE"/>
    <w:rsid w:val="00637048"/>
    <w:rsid w:val="00637593"/>
    <w:rsid w:val="0063761C"/>
    <w:rsid w:val="006376E8"/>
    <w:rsid w:val="006377E5"/>
    <w:rsid w:val="00637822"/>
    <w:rsid w:val="006408C5"/>
    <w:rsid w:val="00640C96"/>
    <w:rsid w:val="0064111A"/>
    <w:rsid w:val="006429BA"/>
    <w:rsid w:val="00642F4F"/>
    <w:rsid w:val="00643420"/>
    <w:rsid w:val="006437D5"/>
    <w:rsid w:val="00643C37"/>
    <w:rsid w:val="00643D2A"/>
    <w:rsid w:val="00644045"/>
    <w:rsid w:val="0064421B"/>
    <w:rsid w:val="00644A4C"/>
    <w:rsid w:val="00645F02"/>
    <w:rsid w:val="00646021"/>
    <w:rsid w:val="006469CE"/>
    <w:rsid w:val="00646B43"/>
    <w:rsid w:val="006470A3"/>
    <w:rsid w:val="00650C14"/>
    <w:rsid w:val="00650E35"/>
    <w:rsid w:val="006510AA"/>
    <w:rsid w:val="006510B6"/>
    <w:rsid w:val="00651184"/>
    <w:rsid w:val="00651C11"/>
    <w:rsid w:val="00652300"/>
    <w:rsid w:val="00652679"/>
    <w:rsid w:val="00652AAF"/>
    <w:rsid w:val="00652CF3"/>
    <w:rsid w:val="00653380"/>
    <w:rsid w:val="00653BE0"/>
    <w:rsid w:val="00653D12"/>
    <w:rsid w:val="00654380"/>
    <w:rsid w:val="006545C5"/>
    <w:rsid w:val="006548CF"/>
    <w:rsid w:val="006549E2"/>
    <w:rsid w:val="00654A8B"/>
    <w:rsid w:val="00654D89"/>
    <w:rsid w:val="00655150"/>
    <w:rsid w:val="006552EE"/>
    <w:rsid w:val="00655405"/>
    <w:rsid w:val="006554F3"/>
    <w:rsid w:val="00655552"/>
    <w:rsid w:val="0065770A"/>
    <w:rsid w:val="0065794C"/>
    <w:rsid w:val="00657E5A"/>
    <w:rsid w:val="00660141"/>
    <w:rsid w:val="00660C7B"/>
    <w:rsid w:val="00660D63"/>
    <w:rsid w:val="00661468"/>
    <w:rsid w:val="00661718"/>
    <w:rsid w:val="00661C66"/>
    <w:rsid w:val="00661E66"/>
    <w:rsid w:val="00662238"/>
    <w:rsid w:val="00662C7B"/>
    <w:rsid w:val="00662F14"/>
    <w:rsid w:val="00663046"/>
    <w:rsid w:val="00663741"/>
    <w:rsid w:val="00663844"/>
    <w:rsid w:val="00663A22"/>
    <w:rsid w:val="00664208"/>
    <w:rsid w:val="00664451"/>
    <w:rsid w:val="00664497"/>
    <w:rsid w:val="00664D34"/>
    <w:rsid w:val="00665265"/>
    <w:rsid w:val="00665325"/>
    <w:rsid w:val="006655D9"/>
    <w:rsid w:val="00666C11"/>
    <w:rsid w:val="006679CB"/>
    <w:rsid w:val="006679E0"/>
    <w:rsid w:val="00667F31"/>
    <w:rsid w:val="00670904"/>
    <w:rsid w:val="006710C2"/>
    <w:rsid w:val="006712C9"/>
    <w:rsid w:val="00671E05"/>
    <w:rsid w:val="00672197"/>
    <w:rsid w:val="006723A8"/>
    <w:rsid w:val="0067300A"/>
    <w:rsid w:val="00673522"/>
    <w:rsid w:val="0067362A"/>
    <w:rsid w:val="00673A70"/>
    <w:rsid w:val="00675D8D"/>
    <w:rsid w:val="00675DEC"/>
    <w:rsid w:val="00675F6C"/>
    <w:rsid w:val="006765B0"/>
    <w:rsid w:val="006766E3"/>
    <w:rsid w:val="00676A90"/>
    <w:rsid w:val="00676C31"/>
    <w:rsid w:val="00677B20"/>
    <w:rsid w:val="00677B34"/>
    <w:rsid w:val="00677B6A"/>
    <w:rsid w:val="00680B25"/>
    <w:rsid w:val="00680DCB"/>
    <w:rsid w:val="0068100D"/>
    <w:rsid w:val="00681690"/>
    <w:rsid w:val="00682053"/>
    <w:rsid w:val="006823F7"/>
    <w:rsid w:val="006828BE"/>
    <w:rsid w:val="0068313F"/>
    <w:rsid w:val="00683440"/>
    <w:rsid w:val="00683787"/>
    <w:rsid w:val="006839C5"/>
    <w:rsid w:val="00683ACF"/>
    <w:rsid w:val="00683B02"/>
    <w:rsid w:val="00683B22"/>
    <w:rsid w:val="00684410"/>
    <w:rsid w:val="00684A99"/>
    <w:rsid w:val="00684DE7"/>
    <w:rsid w:val="006851F2"/>
    <w:rsid w:val="0068533A"/>
    <w:rsid w:val="00685941"/>
    <w:rsid w:val="00685CA7"/>
    <w:rsid w:val="00685D46"/>
    <w:rsid w:val="00686480"/>
    <w:rsid w:val="00686633"/>
    <w:rsid w:val="0068669E"/>
    <w:rsid w:val="006866AF"/>
    <w:rsid w:val="00686C10"/>
    <w:rsid w:val="0068713B"/>
    <w:rsid w:val="0068751A"/>
    <w:rsid w:val="00687B78"/>
    <w:rsid w:val="00687EE3"/>
    <w:rsid w:val="00690083"/>
    <w:rsid w:val="00690142"/>
    <w:rsid w:val="00690FDC"/>
    <w:rsid w:val="00691B74"/>
    <w:rsid w:val="00691CA9"/>
    <w:rsid w:val="00691D0C"/>
    <w:rsid w:val="00692079"/>
    <w:rsid w:val="00692C89"/>
    <w:rsid w:val="00692E29"/>
    <w:rsid w:val="00693E1D"/>
    <w:rsid w:val="00693F66"/>
    <w:rsid w:val="00694187"/>
    <w:rsid w:val="006941AA"/>
    <w:rsid w:val="00694307"/>
    <w:rsid w:val="006944BD"/>
    <w:rsid w:val="0069450B"/>
    <w:rsid w:val="00694814"/>
    <w:rsid w:val="00694892"/>
    <w:rsid w:val="00694A45"/>
    <w:rsid w:val="00694B12"/>
    <w:rsid w:val="00694F34"/>
    <w:rsid w:val="00695781"/>
    <w:rsid w:val="0069593F"/>
    <w:rsid w:val="00695F1F"/>
    <w:rsid w:val="00696879"/>
    <w:rsid w:val="0069733A"/>
    <w:rsid w:val="0069743A"/>
    <w:rsid w:val="006974F5"/>
    <w:rsid w:val="00697696"/>
    <w:rsid w:val="00697DF2"/>
    <w:rsid w:val="006A0744"/>
    <w:rsid w:val="006A089C"/>
    <w:rsid w:val="006A0FA2"/>
    <w:rsid w:val="006A1053"/>
    <w:rsid w:val="006A11EC"/>
    <w:rsid w:val="006A189B"/>
    <w:rsid w:val="006A22EE"/>
    <w:rsid w:val="006A3206"/>
    <w:rsid w:val="006A343D"/>
    <w:rsid w:val="006A3468"/>
    <w:rsid w:val="006A37E0"/>
    <w:rsid w:val="006A39B7"/>
    <w:rsid w:val="006A3BA2"/>
    <w:rsid w:val="006A42D5"/>
    <w:rsid w:val="006A4548"/>
    <w:rsid w:val="006A536D"/>
    <w:rsid w:val="006A59B3"/>
    <w:rsid w:val="006A5CD0"/>
    <w:rsid w:val="006A64A2"/>
    <w:rsid w:val="006A7014"/>
    <w:rsid w:val="006A70A0"/>
    <w:rsid w:val="006B052F"/>
    <w:rsid w:val="006B057E"/>
    <w:rsid w:val="006B0AEF"/>
    <w:rsid w:val="006B0CE5"/>
    <w:rsid w:val="006B0DDD"/>
    <w:rsid w:val="006B1386"/>
    <w:rsid w:val="006B1723"/>
    <w:rsid w:val="006B17E3"/>
    <w:rsid w:val="006B2484"/>
    <w:rsid w:val="006B257D"/>
    <w:rsid w:val="006B27C1"/>
    <w:rsid w:val="006B2AF7"/>
    <w:rsid w:val="006B2BA3"/>
    <w:rsid w:val="006B33E1"/>
    <w:rsid w:val="006B349B"/>
    <w:rsid w:val="006B35F3"/>
    <w:rsid w:val="006B36F1"/>
    <w:rsid w:val="006B39D5"/>
    <w:rsid w:val="006B4382"/>
    <w:rsid w:val="006B4A6D"/>
    <w:rsid w:val="006B4B75"/>
    <w:rsid w:val="006B4C9E"/>
    <w:rsid w:val="006B5347"/>
    <w:rsid w:val="006B56FD"/>
    <w:rsid w:val="006B591C"/>
    <w:rsid w:val="006B62F9"/>
    <w:rsid w:val="006B6776"/>
    <w:rsid w:val="006B6CED"/>
    <w:rsid w:val="006B71F1"/>
    <w:rsid w:val="006B73E8"/>
    <w:rsid w:val="006B7678"/>
    <w:rsid w:val="006B782F"/>
    <w:rsid w:val="006C0475"/>
    <w:rsid w:val="006C0AFE"/>
    <w:rsid w:val="006C1C44"/>
    <w:rsid w:val="006C28B8"/>
    <w:rsid w:val="006C3251"/>
    <w:rsid w:val="006C38A1"/>
    <w:rsid w:val="006C3AE5"/>
    <w:rsid w:val="006C419B"/>
    <w:rsid w:val="006C4786"/>
    <w:rsid w:val="006C67D4"/>
    <w:rsid w:val="006C6A2D"/>
    <w:rsid w:val="006C6B56"/>
    <w:rsid w:val="006C7B2E"/>
    <w:rsid w:val="006D0574"/>
    <w:rsid w:val="006D06DE"/>
    <w:rsid w:val="006D0E8B"/>
    <w:rsid w:val="006D1649"/>
    <w:rsid w:val="006D17F5"/>
    <w:rsid w:val="006D194C"/>
    <w:rsid w:val="006D1B41"/>
    <w:rsid w:val="006D4C83"/>
    <w:rsid w:val="006D5EA0"/>
    <w:rsid w:val="006D6042"/>
    <w:rsid w:val="006D636F"/>
    <w:rsid w:val="006D6836"/>
    <w:rsid w:val="006D6993"/>
    <w:rsid w:val="006D74DA"/>
    <w:rsid w:val="006D7E8A"/>
    <w:rsid w:val="006E0FE2"/>
    <w:rsid w:val="006E108A"/>
    <w:rsid w:val="006E1767"/>
    <w:rsid w:val="006E1D3C"/>
    <w:rsid w:val="006E1F85"/>
    <w:rsid w:val="006E2417"/>
    <w:rsid w:val="006E2784"/>
    <w:rsid w:val="006E2CBF"/>
    <w:rsid w:val="006E2F92"/>
    <w:rsid w:val="006E3168"/>
    <w:rsid w:val="006E3C44"/>
    <w:rsid w:val="006E4086"/>
    <w:rsid w:val="006E4482"/>
    <w:rsid w:val="006E455B"/>
    <w:rsid w:val="006E4EB8"/>
    <w:rsid w:val="006E50CC"/>
    <w:rsid w:val="006E5130"/>
    <w:rsid w:val="006E5186"/>
    <w:rsid w:val="006E5203"/>
    <w:rsid w:val="006E5C46"/>
    <w:rsid w:val="006E62E5"/>
    <w:rsid w:val="006E6CB1"/>
    <w:rsid w:val="006E7BD7"/>
    <w:rsid w:val="006E7D6E"/>
    <w:rsid w:val="006F00F5"/>
    <w:rsid w:val="006F039D"/>
    <w:rsid w:val="006F03C5"/>
    <w:rsid w:val="006F0C81"/>
    <w:rsid w:val="006F129C"/>
    <w:rsid w:val="006F1346"/>
    <w:rsid w:val="006F15BB"/>
    <w:rsid w:val="006F1631"/>
    <w:rsid w:val="006F1BB0"/>
    <w:rsid w:val="006F2B1A"/>
    <w:rsid w:val="006F6D3B"/>
    <w:rsid w:val="006F7652"/>
    <w:rsid w:val="0070063E"/>
    <w:rsid w:val="0070195B"/>
    <w:rsid w:val="0070283C"/>
    <w:rsid w:val="00702A6B"/>
    <w:rsid w:val="00702F62"/>
    <w:rsid w:val="00703055"/>
    <w:rsid w:val="00703460"/>
    <w:rsid w:val="0070368A"/>
    <w:rsid w:val="00703712"/>
    <w:rsid w:val="00704184"/>
    <w:rsid w:val="00704644"/>
    <w:rsid w:val="00704BB7"/>
    <w:rsid w:val="007052F1"/>
    <w:rsid w:val="00705E1E"/>
    <w:rsid w:val="0070671C"/>
    <w:rsid w:val="00706EA6"/>
    <w:rsid w:val="007079F1"/>
    <w:rsid w:val="007106DD"/>
    <w:rsid w:val="00710A98"/>
    <w:rsid w:val="00710B10"/>
    <w:rsid w:val="00711533"/>
    <w:rsid w:val="00711803"/>
    <w:rsid w:val="00711B09"/>
    <w:rsid w:val="00711B0D"/>
    <w:rsid w:val="00711B71"/>
    <w:rsid w:val="00711BC0"/>
    <w:rsid w:val="00712625"/>
    <w:rsid w:val="007126CD"/>
    <w:rsid w:val="007127B2"/>
    <w:rsid w:val="00712C22"/>
    <w:rsid w:val="00713079"/>
    <w:rsid w:val="00713880"/>
    <w:rsid w:val="00713E11"/>
    <w:rsid w:val="00714224"/>
    <w:rsid w:val="00714599"/>
    <w:rsid w:val="007154DD"/>
    <w:rsid w:val="007156E0"/>
    <w:rsid w:val="00716A47"/>
    <w:rsid w:val="00717106"/>
    <w:rsid w:val="00717ED3"/>
    <w:rsid w:val="00720C40"/>
    <w:rsid w:val="007214AB"/>
    <w:rsid w:val="0072188A"/>
    <w:rsid w:val="00721BCB"/>
    <w:rsid w:val="00722025"/>
    <w:rsid w:val="00722207"/>
    <w:rsid w:val="00722391"/>
    <w:rsid w:val="00722B15"/>
    <w:rsid w:val="00724116"/>
    <w:rsid w:val="00724FB2"/>
    <w:rsid w:val="007250DC"/>
    <w:rsid w:val="007252B4"/>
    <w:rsid w:val="0072535C"/>
    <w:rsid w:val="0072596D"/>
    <w:rsid w:val="007260D7"/>
    <w:rsid w:val="0072629A"/>
    <w:rsid w:val="0072633C"/>
    <w:rsid w:val="007263B1"/>
    <w:rsid w:val="0072640F"/>
    <w:rsid w:val="00726683"/>
    <w:rsid w:val="007270A6"/>
    <w:rsid w:val="007272E7"/>
    <w:rsid w:val="007272F6"/>
    <w:rsid w:val="00727AB9"/>
    <w:rsid w:val="0073042D"/>
    <w:rsid w:val="007308D4"/>
    <w:rsid w:val="00731CD0"/>
    <w:rsid w:val="00731D3A"/>
    <w:rsid w:val="00731D96"/>
    <w:rsid w:val="00732517"/>
    <w:rsid w:val="00734A41"/>
    <w:rsid w:val="00734D43"/>
    <w:rsid w:val="00734D57"/>
    <w:rsid w:val="007356DA"/>
    <w:rsid w:val="00735DC2"/>
    <w:rsid w:val="00736336"/>
    <w:rsid w:val="00736599"/>
    <w:rsid w:val="00736F42"/>
    <w:rsid w:val="007376A4"/>
    <w:rsid w:val="00740274"/>
    <w:rsid w:val="00740424"/>
    <w:rsid w:val="0074043D"/>
    <w:rsid w:val="00741445"/>
    <w:rsid w:val="00741A70"/>
    <w:rsid w:val="00742994"/>
    <w:rsid w:val="0074399E"/>
    <w:rsid w:val="00743A2C"/>
    <w:rsid w:val="00744366"/>
    <w:rsid w:val="007455B8"/>
    <w:rsid w:val="007457F7"/>
    <w:rsid w:val="00745A9D"/>
    <w:rsid w:val="00746467"/>
    <w:rsid w:val="007503FE"/>
    <w:rsid w:val="0075071E"/>
    <w:rsid w:val="0075089E"/>
    <w:rsid w:val="007509BA"/>
    <w:rsid w:val="00750A72"/>
    <w:rsid w:val="0075141A"/>
    <w:rsid w:val="00751BE3"/>
    <w:rsid w:val="00751F04"/>
    <w:rsid w:val="00751FA0"/>
    <w:rsid w:val="0075205F"/>
    <w:rsid w:val="00753130"/>
    <w:rsid w:val="0075333B"/>
    <w:rsid w:val="0075367A"/>
    <w:rsid w:val="007536FB"/>
    <w:rsid w:val="00753A8A"/>
    <w:rsid w:val="007542EA"/>
    <w:rsid w:val="0075470F"/>
    <w:rsid w:val="007551DC"/>
    <w:rsid w:val="007551E6"/>
    <w:rsid w:val="00755BDF"/>
    <w:rsid w:val="00755EDB"/>
    <w:rsid w:val="00756577"/>
    <w:rsid w:val="00756595"/>
    <w:rsid w:val="0075663E"/>
    <w:rsid w:val="00757D20"/>
    <w:rsid w:val="00760054"/>
    <w:rsid w:val="007602B4"/>
    <w:rsid w:val="007602BB"/>
    <w:rsid w:val="0076073D"/>
    <w:rsid w:val="007607A4"/>
    <w:rsid w:val="007612BD"/>
    <w:rsid w:val="0076151A"/>
    <w:rsid w:val="00761B89"/>
    <w:rsid w:val="00761BD0"/>
    <w:rsid w:val="0076239F"/>
    <w:rsid w:val="00762A47"/>
    <w:rsid w:val="00762D65"/>
    <w:rsid w:val="00762E45"/>
    <w:rsid w:val="007639F0"/>
    <w:rsid w:val="00763FBB"/>
    <w:rsid w:val="00764334"/>
    <w:rsid w:val="00764360"/>
    <w:rsid w:val="00765580"/>
    <w:rsid w:val="00765A81"/>
    <w:rsid w:val="00765DC1"/>
    <w:rsid w:val="007660DC"/>
    <w:rsid w:val="0076650B"/>
    <w:rsid w:val="00766AAC"/>
    <w:rsid w:val="00766CC0"/>
    <w:rsid w:val="00766E99"/>
    <w:rsid w:val="00767417"/>
    <w:rsid w:val="00767645"/>
    <w:rsid w:val="00767BCD"/>
    <w:rsid w:val="00767C99"/>
    <w:rsid w:val="007709B5"/>
    <w:rsid w:val="00770CE1"/>
    <w:rsid w:val="007712E8"/>
    <w:rsid w:val="0077152F"/>
    <w:rsid w:val="00771651"/>
    <w:rsid w:val="00771938"/>
    <w:rsid w:val="00771BDD"/>
    <w:rsid w:val="00771EAD"/>
    <w:rsid w:val="00772808"/>
    <w:rsid w:val="007728C4"/>
    <w:rsid w:val="00773242"/>
    <w:rsid w:val="007732FB"/>
    <w:rsid w:val="0077369A"/>
    <w:rsid w:val="0077372F"/>
    <w:rsid w:val="00773ADB"/>
    <w:rsid w:val="00773F23"/>
    <w:rsid w:val="00774668"/>
    <w:rsid w:val="0077473F"/>
    <w:rsid w:val="00774E01"/>
    <w:rsid w:val="0077570C"/>
    <w:rsid w:val="00775D96"/>
    <w:rsid w:val="00775E2A"/>
    <w:rsid w:val="0077600C"/>
    <w:rsid w:val="00776750"/>
    <w:rsid w:val="00776B43"/>
    <w:rsid w:val="00776B4B"/>
    <w:rsid w:val="00776B8A"/>
    <w:rsid w:val="00776D01"/>
    <w:rsid w:val="00776F75"/>
    <w:rsid w:val="0077787B"/>
    <w:rsid w:val="007778DA"/>
    <w:rsid w:val="00777A0E"/>
    <w:rsid w:val="0078006F"/>
    <w:rsid w:val="007800BE"/>
    <w:rsid w:val="00780120"/>
    <w:rsid w:val="00780452"/>
    <w:rsid w:val="007818D3"/>
    <w:rsid w:val="00781EB6"/>
    <w:rsid w:val="00782515"/>
    <w:rsid w:val="00782894"/>
    <w:rsid w:val="0078294F"/>
    <w:rsid w:val="00782BE4"/>
    <w:rsid w:val="00782DE9"/>
    <w:rsid w:val="00783A77"/>
    <w:rsid w:val="00783D42"/>
    <w:rsid w:val="00783D63"/>
    <w:rsid w:val="00783E63"/>
    <w:rsid w:val="00783EA9"/>
    <w:rsid w:val="007844FB"/>
    <w:rsid w:val="00784C7F"/>
    <w:rsid w:val="0078534F"/>
    <w:rsid w:val="00785625"/>
    <w:rsid w:val="00785CCE"/>
    <w:rsid w:val="00786409"/>
    <w:rsid w:val="007869EC"/>
    <w:rsid w:val="00787487"/>
    <w:rsid w:val="00790ACA"/>
    <w:rsid w:val="00791387"/>
    <w:rsid w:val="007917EF"/>
    <w:rsid w:val="00792383"/>
    <w:rsid w:val="00792AEB"/>
    <w:rsid w:val="00792F02"/>
    <w:rsid w:val="00792F55"/>
    <w:rsid w:val="007933B8"/>
    <w:rsid w:val="007939B9"/>
    <w:rsid w:val="00793B96"/>
    <w:rsid w:val="00793F55"/>
    <w:rsid w:val="00794D85"/>
    <w:rsid w:val="007958D4"/>
    <w:rsid w:val="00795AB7"/>
    <w:rsid w:val="00795E98"/>
    <w:rsid w:val="00796068"/>
    <w:rsid w:val="00796431"/>
    <w:rsid w:val="00796593"/>
    <w:rsid w:val="007973C3"/>
    <w:rsid w:val="00797DD8"/>
    <w:rsid w:val="00797DF9"/>
    <w:rsid w:val="00797E7E"/>
    <w:rsid w:val="007A2035"/>
    <w:rsid w:val="007A2319"/>
    <w:rsid w:val="007A2977"/>
    <w:rsid w:val="007A2E12"/>
    <w:rsid w:val="007A2FC6"/>
    <w:rsid w:val="007A333B"/>
    <w:rsid w:val="007A356F"/>
    <w:rsid w:val="007A37D7"/>
    <w:rsid w:val="007A3A62"/>
    <w:rsid w:val="007A43E0"/>
    <w:rsid w:val="007A4FD4"/>
    <w:rsid w:val="007A5104"/>
    <w:rsid w:val="007A5560"/>
    <w:rsid w:val="007A562B"/>
    <w:rsid w:val="007A5BDD"/>
    <w:rsid w:val="007A6782"/>
    <w:rsid w:val="007A687D"/>
    <w:rsid w:val="007A7885"/>
    <w:rsid w:val="007B008E"/>
    <w:rsid w:val="007B0381"/>
    <w:rsid w:val="007B087E"/>
    <w:rsid w:val="007B1D78"/>
    <w:rsid w:val="007B2063"/>
    <w:rsid w:val="007B221D"/>
    <w:rsid w:val="007B22DA"/>
    <w:rsid w:val="007B3195"/>
    <w:rsid w:val="007B36F5"/>
    <w:rsid w:val="007B41E7"/>
    <w:rsid w:val="007B4CF4"/>
    <w:rsid w:val="007B5021"/>
    <w:rsid w:val="007B5C70"/>
    <w:rsid w:val="007B61D9"/>
    <w:rsid w:val="007B688A"/>
    <w:rsid w:val="007B6A5E"/>
    <w:rsid w:val="007B6D2C"/>
    <w:rsid w:val="007B7C2C"/>
    <w:rsid w:val="007B7D82"/>
    <w:rsid w:val="007C00CF"/>
    <w:rsid w:val="007C01B5"/>
    <w:rsid w:val="007C0940"/>
    <w:rsid w:val="007C1200"/>
    <w:rsid w:val="007C1EEE"/>
    <w:rsid w:val="007C22E8"/>
    <w:rsid w:val="007C2782"/>
    <w:rsid w:val="007C2C19"/>
    <w:rsid w:val="007C2C94"/>
    <w:rsid w:val="007C2E20"/>
    <w:rsid w:val="007C37E8"/>
    <w:rsid w:val="007C43B0"/>
    <w:rsid w:val="007C46BB"/>
    <w:rsid w:val="007C4935"/>
    <w:rsid w:val="007C4B7F"/>
    <w:rsid w:val="007C5442"/>
    <w:rsid w:val="007C545E"/>
    <w:rsid w:val="007C551D"/>
    <w:rsid w:val="007C681A"/>
    <w:rsid w:val="007C68A0"/>
    <w:rsid w:val="007D0350"/>
    <w:rsid w:val="007D0B5E"/>
    <w:rsid w:val="007D0D56"/>
    <w:rsid w:val="007D1199"/>
    <w:rsid w:val="007D1EF9"/>
    <w:rsid w:val="007D2579"/>
    <w:rsid w:val="007D268B"/>
    <w:rsid w:val="007D2B9F"/>
    <w:rsid w:val="007D3129"/>
    <w:rsid w:val="007D32D2"/>
    <w:rsid w:val="007D3CA9"/>
    <w:rsid w:val="007D452A"/>
    <w:rsid w:val="007D47C5"/>
    <w:rsid w:val="007D482F"/>
    <w:rsid w:val="007D4857"/>
    <w:rsid w:val="007D4C98"/>
    <w:rsid w:val="007D4EB3"/>
    <w:rsid w:val="007D5109"/>
    <w:rsid w:val="007D576A"/>
    <w:rsid w:val="007D57B2"/>
    <w:rsid w:val="007D5EEC"/>
    <w:rsid w:val="007D61AB"/>
    <w:rsid w:val="007D6547"/>
    <w:rsid w:val="007D660B"/>
    <w:rsid w:val="007D6CE2"/>
    <w:rsid w:val="007D7D4A"/>
    <w:rsid w:val="007D7E72"/>
    <w:rsid w:val="007E0330"/>
    <w:rsid w:val="007E0C41"/>
    <w:rsid w:val="007E0C99"/>
    <w:rsid w:val="007E1CB2"/>
    <w:rsid w:val="007E1E82"/>
    <w:rsid w:val="007E202D"/>
    <w:rsid w:val="007E219B"/>
    <w:rsid w:val="007E21BB"/>
    <w:rsid w:val="007E2215"/>
    <w:rsid w:val="007E2657"/>
    <w:rsid w:val="007E3417"/>
    <w:rsid w:val="007E3CFF"/>
    <w:rsid w:val="007E3D19"/>
    <w:rsid w:val="007E4399"/>
    <w:rsid w:val="007E4653"/>
    <w:rsid w:val="007E5069"/>
    <w:rsid w:val="007E594C"/>
    <w:rsid w:val="007E5A9A"/>
    <w:rsid w:val="007E5F5C"/>
    <w:rsid w:val="007E6077"/>
    <w:rsid w:val="007E66E0"/>
    <w:rsid w:val="007E6ED3"/>
    <w:rsid w:val="007E7423"/>
    <w:rsid w:val="007E77D7"/>
    <w:rsid w:val="007E7C60"/>
    <w:rsid w:val="007E7CD7"/>
    <w:rsid w:val="007E7EAA"/>
    <w:rsid w:val="007F02B1"/>
    <w:rsid w:val="007F0EA3"/>
    <w:rsid w:val="007F0F1C"/>
    <w:rsid w:val="007F111A"/>
    <w:rsid w:val="007F14B3"/>
    <w:rsid w:val="007F20B3"/>
    <w:rsid w:val="007F2640"/>
    <w:rsid w:val="007F2843"/>
    <w:rsid w:val="007F2FF5"/>
    <w:rsid w:val="007F534A"/>
    <w:rsid w:val="007F5559"/>
    <w:rsid w:val="007F5A45"/>
    <w:rsid w:val="007F5E4E"/>
    <w:rsid w:val="007F71DC"/>
    <w:rsid w:val="007F747A"/>
    <w:rsid w:val="007F748B"/>
    <w:rsid w:val="007F7880"/>
    <w:rsid w:val="007F7B3A"/>
    <w:rsid w:val="007F7C62"/>
    <w:rsid w:val="008000EE"/>
    <w:rsid w:val="00801D0C"/>
    <w:rsid w:val="00802C0C"/>
    <w:rsid w:val="00802C1E"/>
    <w:rsid w:val="00802D58"/>
    <w:rsid w:val="00802F54"/>
    <w:rsid w:val="0080344B"/>
    <w:rsid w:val="00804C4C"/>
    <w:rsid w:val="0080505E"/>
    <w:rsid w:val="00805DB5"/>
    <w:rsid w:val="00805E40"/>
    <w:rsid w:val="008063FF"/>
    <w:rsid w:val="008065C0"/>
    <w:rsid w:val="00806E4B"/>
    <w:rsid w:val="00807076"/>
    <w:rsid w:val="0080717C"/>
    <w:rsid w:val="00807756"/>
    <w:rsid w:val="008111C7"/>
    <w:rsid w:val="00812C93"/>
    <w:rsid w:val="00813543"/>
    <w:rsid w:val="00813ACF"/>
    <w:rsid w:val="0081422A"/>
    <w:rsid w:val="00815D00"/>
    <w:rsid w:val="008161EF"/>
    <w:rsid w:val="0081634F"/>
    <w:rsid w:val="008173D0"/>
    <w:rsid w:val="008177C3"/>
    <w:rsid w:val="00817838"/>
    <w:rsid w:val="00817A6C"/>
    <w:rsid w:val="00820E8C"/>
    <w:rsid w:val="00821261"/>
    <w:rsid w:val="008212E1"/>
    <w:rsid w:val="00821DE5"/>
    <w:rsid w:val="00822ADE"/>
    <w:rsid w:val="008231B6"/>
    <w:rsid w:val="0082326A"/>
    <w:rsid w:val="0082327F"/>
    <w:rsid w:val="0082373E"/>
    <w:rsid w:val="00823751"/>
    <w:rsid w:val="008237E0"/>
    <w:rsid w:val="00823BDA"/>
    <w:rsid w:val="0082405A"/>
    <w:rsid w:val="00824753"/>
    <w:rsid w:val="0082499A"/>
    <w:rsid w:val="00824F42"/>
    <w:rsid w:val="00824F7B"/>
    <w:rsid w:val="008254D8"/>
    <w:rsid w:val="00825780"/>
    <w:rsid w:val="008258CD"/>
    <w:rsid w:val="00825C30"/>
    <w:rsid w:val="00825C4E"/>
    <w:rsid w:val="00825FC2"/>
    <w:rsid w:val="008263AA"/>
    <w:rsid w:val="008266E9"/>
    <w:rsid w:val="008267A0"/>
    <w:rsid w:val="00826D22"/>
    <w:rsid w:val="00826D88"/>
    <w:rsid w:val="008273AD"/>
    <w:rsid w:val="008277D2"/>
    <w:rsid w:val="00827BFD"/>
    <w:rsid w:val="00827F73"/>
    <w:rsid w:val="0083017F"/>
    <w:rsid w:val="00830A97"/>
    <w:rsid w:val="008318DF"/>
    <w:rsid w:val="00831A34"/>
    <w:rsid w:val="008324D0"/>
    <w:rsid w:val="00832561"/>
    <w:rsid w:val="008325D8"/>
    <w:rsid w:val="008326FA"/>
    <w:rsid w:val="00832FD2"/>
    <w:rsid w:val="00833DBD"/>
    <w:rsid w:val="00833E12"/>
    <w:rsid w:val="008342ED"/>
    <w:rsid w:val="00834C9F"/>
    <w:rsid w:val="00834E8F"/>
    <w:rsid w:val="00835369"/>
    <w:rsid w:val="008354E1"/>
    <w:rsid w:val="0083550F"/>
    <w:rsid w:val="008358B2"/>
    <w:rsid w:val="00835B6B"/>
    <w:rsid w:val="0083609A"/>
    <w:rsid w:val="008361DD"/>
    <w:rsid w:val="00836561"/>
    <w:rsid w:val="00836DF5"/>
    <w:rsid w:val="00836EB7"/>
    <w:rsid w:val="008374A1"/>
    <w:rsid w:val="00840703"/>
    <w:rsid w:val="00840ABF"/>
    <w:rsid w:val="00840BA2"/>
    <w:rsid w:val="00840CDE"/>
    <w:rsid w:val="00841E57"/>
    <w:rsid w:val="00842215"/>
    <w:rsid w:val="008423F5"/>
    <w:rsid w:val="00842705"/>
    <w:rsid w:val="0084287E"/>
    <w:rsid w:val="00842B48"/>
    <w:rsid w:val="00842B57"/>
    <w:rsid w:val="008432EB"/>
    <w:rsid w:val="0084361A"/>
    <w:rsid w:val="00843C5B"/>
    <w:rsid w:val="00843EB5"/>
    <w:rsid w:val="008445F1"/>
    <w:rsid w:val="00844660"/>
    <w:rsid w:val="0084476C"/>
    <w:rsid w:val="00845749"/>
    <w:rsid w:val="008461A9"/>
    <w:rsid w:val="00846DC6"/>
    <w:rsid w:val="00847407"/>
    <w:rsid w:val="00847B40"/>
    <w:rsid w:val="00847CD0"/>
    <w:rsid w:val="00847F4B"/>
    <w:rsid w:val="00850987"/>
    <w:rsid w:val="00851585"/>
    <w:rsid w:val="00851778"/>
    <w:rsid w:val="00852073"/>
    <w:rsid w:val="00852219"/>
    <w:rsid w:val="008525B7"/>
    <w:rsid w:val="00852647"/>
    <w:rsid w:val="0085317E"/>
    <w:rsid w:val="00853810"/>
    <w:rsid w:val="00854229"/>
    <w:rsid w:val="0085458E"/>
    <w:rsid w:val="00854B14"/>
    <w:rsid w:val="00854E33"/>
    <w:rsid w:val="00854EBD"/>
    <w:rsid w:val="00855377"/>
    <w:rsid w:val="00855602"/>
    <w:rsid w:val="00855BA9"/>
    <w:rsid w:val="0085638A"/>
    <w:rsid w:val="00856A75"/>
    <w:rsid w:val="00856EB8"/>
    <w:rsid w:val="0085726D"/>
    <w:rsid w:val="00857A04"/>
    <w:rsid w:val="00857A79"/>
    <w:rsid w:val="00860A6E"/>
    <w:rsid w:val="00861281"/>
    <w:rsid w:val="00861320"/>
    <w:rsid w:val="00861774"/>
    <w:rsid w:val="00861805"/>
    <w:rsid w:val="00862303"/>
    <w:rsid w:val="0086258A"/>
    <w:rsid w:val="0086292F"/>
    <w:rsid w:val="00862D29"/>
    <w:rsid w:val="008631AB"/>
    <w:rsid w:val="008639B1"/>
    <w:rsid w:val="008642D8"/>
    <w:rsid w:val="0086456C"/>
    <w:rsid w:val="00864DA0"/>
    <w:rsid w:val="00864F6A"/>
    <w:rsid w:val="00864FF0"/>
    <w:rsid w:val="0086535C"/>
    <w:rsid w:val="00865D3B"/>
    <w:rsid w:val="00865FC3"/>
    <w:rsid w:val="00867AE1"/>
    <w:rsid w:val="00867E12"/>
    <w:rsid w:val="00870BE0"/>
    <w:rsid w:val="008713B9"/>
    <w:rsid w:val="00871A6F"/>
    <w:rsid w:val="00871DE0"/>
    <w:rsid w:val="0087224B"/>
    <w:rsid w:val="00872548"/>
    <w:rsid w:val="00873454"/>
    <w:rsid w:val="00874AC0"/>
    <w:rsid w:val="0087509E"/>
    <w:rsid w:val="00875136"/>
    <w:rsid w:val="00876773"/>
    <w:rsid w:val="00877325"/>
    <w:rsid w:val="00877DAF"/>
    <w:rsid w:val="00880BEC"/>
    <w:rsid w:val="00881B0B"/>
    <w:rsid w:val="00881E57"/>
    <w:rsid w:val="008820EC"/>
    <w:rsid w:val="0088212F"/>
    <w:rsid w:val="008822EE"/>
    <w:rsid w:val="00882835"/>
    <w:rsid w:val="00882BE6"/>
    <w:rsid w:val="00883AD2"/>
    <w:rsid w:val="00883C97"/>
    <w:rsid w:val="00884AF9"/>
    <w:rsid w:val="00886BA9"/>
    <w:rsid w:val="00886BF9"/>
    <w:rsid w:val="008871F8"/>
    <w:rsid w:val="0088721E"/>
    <w:rsid w:val="008873AB"/>
    <w:rsid w:val="00887510"/>
    <w:rsid w:val="00887E42"/>
    <w:rsid w:val="008902F0"/>
    <w:rsid w:val="00890CCB"/>
    <w:rsid w:val="00890F54"/>
    <w:rsid w:val="00891D92"/>
    <w:rsid w:val="008921D3"/>
    <w:rsid w:val="00892908"/>
    <w:rsid w:val="00892BB1"/>
    <w:rsid w:val="00892C06"/>
    <w:rsid w:val="00892C75"/>
    <w:rsid w:val="00892E8D"/>
    <w:rsid w:val="00892EA6"/>
    <w:rsid w:val="0089302E"/>
    <w:rsid w:val="00893BA1"/>
    <w:rsid w:val="008948B3"/>
    <w:rsid w:val="00894CB3"/>
    <w:rsid w:val="00894CE7"/>
    <w:rsid w:val="00895332"/>
    <w:rsid w:val="0089608C"/>
    <w:rsid w:val="0089633A"/>
    <w:rsid w:val="008967F9"/>
    <w:rsid w:val="00896B64"/>
    <w:rsid w:val="00896CCB"/>
    <w:rsid w:val="008970D9"/>
    <w:rsid w:val="00897208"/>
    <w:rsid w:val="008973AD"/>
    <w:rsid w:val="008975F3"/>
    <w:rsid w:val="008978BC"/>
    <w:rsid w:val="00897943"/>
    <w:rsid w:val="00897A43"/>
    <w:rsid w:val="00897D02"/>
    <w:rsid w:val="00897FD0"/>
    <w:rsid w:val="008A0728"/>
    <w:rsid w:val="008A0E50"/>
    <w:rsid w:val="008A153E"/>
    <w:rsid w:val="008A17F2"/>
    <w:rsid w:val="008A1BB2"/>
    <w:rsid w:val="008A27B1"/>
    <w:rsid w:val="008A2CCF"/>
    <w:rsid w:val="008A3187"/>
    <w:rsid w:val="008A35C4"/>
    <w:rsid w:val="008A3752"/>
    <w:rsid w:val="008A39B7"/>
    <w:rsid w:val="008A4668"/>
    <w:rsid w:val="008A4D14"/>
    <w:rsid w:val="008A55BD"/>
    <w:rsid w:val="008A5698"/>
    <w:rsid w:val="008A5770"/>
    <w:rsid w:val="008A597A"/>
    <w:rsid w:val="008A5F9B"/>
    <w:rsid w:val="008A5FF0"/>
    <w:rsid w:val="008A616B"/>
    <w:rsid w:val="008A64FD"/>
    <w:rsid w:val="008A69E2"/>
    <w:rsid w:val="008A7162"/>
    <w:rsid w:val="008A79E9"/>
    <w:rsid w:val="008A7C4D"/>
    <w:rsid w:val="008B00EC"/>
    <w:rsid w:val="008B06B6"/>
    <w:rsid w:val="008B0B47"/>
    <w:rsid w:val="008B0CAB"/>
    <w:rsid w:val="008B116A"/>
    <w:rsid w:val="008B118C"/>
    <w:rsid w:val="008B15FE"/>
    <w:rsid w:val="008B17B4"/>
    <w:rsid w:val="008B1BFC"/>
    <w:rsid w:val="008B27AA"/>
    <w:rsid w:val="008B28DE"/>
    <w:rsid w:val="008B3C06"/>
    <w:rsid w:val="008B499A"/>
    <w:rsid w:val="008B4B0A"/>
    <w:rsid w:val="008B4E6D"/>
    <w:rsid w:val="008B540A"/>
    <w:rsid w:val="008B5BCE"/>
    <w:rsid w:val="008B5E61"/>
    <w:rsid w:val="008B608E"/>
    <w:rsid w:val="008B6DF3"/>
    <w:rsid w:val="008B7ED6"/>
    <w:rsid w:val="008C012E"/>
    <w:rsid w:val="008C04F6"/>
    <w:rsid w:val="008C0942"/>
    <w:rsid w:val="008C098D"/>
    <w:rsid w:val="008C0C0F"/>
    <w:rsid w:val="008C0E5D"/>
    <w:rsid w:val="008C1230"/>
    <w:rsid w:val="008C139B"/>
    <w:rsid w:val="008C1A10"/>
    <w:rsid w:val="008C1DCF"/>
    <w:rsid w:val="008C2109"/>
    <w:rsid w:val="008C2348"/>
    <w:rsid w:val="008C288A"/>
    <w:rsid w:val="008C2A2C"/>
    <w:rsid w:val="008C2DFD"/>
    <w:rsid w:val="008C3111"/>
    <w:rsid w:val="008C3679"/>
    <w:rsid w:val="008C39DC"/>
    <w:rsid w:val="008C3BE9"/>
    <w:rsid w:val="008C3EFF"/>
    <w:rsid w:val="008C45E1"/>
    <w:rsid w:val="008C46A1"/>
    <w:rsid w:val="008C4998"/>
    <w:rsid w:val="008C4B73"/>
    <w:rsid w:val="008C5122"/>
    <w:rsid w:val="008C597F"/>
    <w:rsid w:val="008C6004"/>
    <w:rsid w:val="008C682F"/>
    <w:rsid w:val="008C6A03"/>
    <w:rsid w:val="008C6F2F"/>
    <w:rsid w:val="008C747A"/>
    <w:rsid w:val="008C74C4"/>
    <w:rsid w:val="008D0640"/>
    <w:rsid w:val="008D068F"/>
    <w:rsid w:val="008D0C33"/>
    <w:rsid w:val="008D1E52"/>
    <w:rsid w:val="008D216A"/>
    <w:rsid w:val="008D2547"/>
    <w:rsid w:val="008D298A"/>
    <w:rsid w:val="008D3E3F"/>
    <w:rsid w:val="008D5481"/>
    <w:rsid w:val="008D5C6C"/>
    <w:rsid w:val="008D60B1"/>
    <w:rsid w:val="008D663C"/>
    <w:rsid w:val="008D6651"/>
    <w:rsid w:val="008D6BE4"/>
    <w:rsid w:val="008D6C78"/>
    <w:rsid w:val="008D6D3E"/>
    <w:rsid w:val="008D6E82"/>
    <w:rsid w:val="008D71C9"/>
    <w:rsid w:val="008D7374"/>
    <w:rsid w:val="008D7D8E"/>
    <w:rsid w:val="008E00B4"/>
    <w:rsid w:val="008E05C8"/>
    <w:rsid w:val="008E281C"/>
    <w:rsid w:val="008E3424"/>
    <w:rsid w:val="008E3A16"/>
    <w:rsid w:val="008E3C01"/>
    <w:rsid w:val="008E4758"/>
    <w:rsid w:val="008E48BD"/>
    <w:rsid w:val="008E4963"/>
    <w:rsid w:val="008E5163"/>
    <w:rsid w:val="008E520A"/>
    <w:rsid w:val="008E5502"/>
    <w:rsid w:val="008E5AE9"/>
    <w:rsid w:val="008E5C89"/>
    <w:rsid w:val="008E619C"/>
    <w:rsid w:val="008E6555"/>
    <w:rsid w:val="008E67F2"/>
    <w:rsid w:val="008E71D1"/>
    <w:rsid w:val="008E7892"/>
    <w:rsid w:val="008E7B03"/>
    <w:rsid w:val="008F05F6"/>
    <w:rsid w:val="008F090D"/>
    <w:rsid w:val="008F128E"/>
    <w:rsid w:val="008F144B"/>
    <w:rsid w:val="008F1888"/>
    <w:rsid w:val="008F1AEC"/>
    <w:rsid w:val="008F1E3B"/>
    <w:rsid w:val="008F2D50"/>
    <w:rsid w:val="008F3C9D"/>
    <w:rsid w:val="008F436A"/>
    <w:rsid w:val="008F4F7F"/>
    <w:rsid w:val="008F5126"/>
    <w:rsid w:val="008F5130"/>
    <w:rsid w:val="008F5A56"/>
    <w:rsid w:val="008F6B32"/>
    <w:rsid w:val="008F71F4"/>
    <w:rsid w:val="008F7964"/>
    <w:rsid w:val="009005B9"/>
    <w:rsid w:val="009005C1"/>
    <w:rsid w:val="009007C5"/>
    <w:rsid w:val="009009C2"/>
    <w:rsid w:val="00900F0E"/>
    <w:rsid w:val="00901042"/>
    <w:rsid w:val="00901602"/>
    <w:rsid w:val="00901886"/>
    <w:rsid w:val="00901F1D"/>
    <w:rsid w:val="00901F59"/>
    <w:rsid w:val="00902815"/>
    <w:rsid w:val="00902F44"/>
    <w:rsid w:val="009039B5"/>
    <w:rsid w:val="0090430D"/>
    <w:rsid w:val="009047C7"/>
    <w:rsid w:val="00904938"/>
    <w:rsid w:val="00904EFE"/>
    <w:rsid w:val="0090584C"/>
    <w:rsid w:val="00905862"/>
    <w:rsid w:val="00905ACD"/>
    <w:rsid w:val="00905FF4"/>
    <w:rsid w:val="0090679C"/>
    <w:rsid w:val="00906BC6"/>
    <w:rsid w:val="0090741E"/>
    <w:rsid w:val="0090757F"/>
    <w:rsid w:val="00907FB7"/>
    <w:rsid w:val="0091009C"/>
    <w:rsid w:val="0091016A"/>
    <w:rsid w:val="009101D9"/>
    <w:rsid w:val="009106BA"/>
    <w:rsid w:val="0091087A"/>
    <w:rsid w:val="00910982"/>
    <w:rsid w:val="009112E9"/>
    <w:rsid w:val="00911536"/>
    <w:rsid w:val="00911554"/>
    <w:rsid w:val="00911B0A"/>
    <w:rsid w:val="009125A1"/>
    <w:rsid w:val="00912BD0"/>
    <w:rsid w:val="00913427"/>
    <w:rsid w:val="00913F37"/>
    <w:rsid w:val="00913F55"/>
    <w:rsid w:val="00914C12"/>
    <w:rsid w:val="0091546B"/>
    <w:rsid w:val="009162C4"/>
    <w:rsid w:val="00916511"/>
    <w:rsid w:val="00916FB1"/>
    <w:rsid w:val="00917046"/>
    <w:rsid w:val="00917CA3"/>
    <w:rsid w:val="009211CC"/>
    <w:rsid w:val="00921258"/>
    <w:rsid w:val="009214A5"/>
    <w:rsid w:val="0092160F"/>
    <w:rsid w:val="009217C9"/>
    <w:rsid w:val="009227CB"/>
    <w:rsid w:val="00922C07"/>
    <w:rsid w:val="00923E35"/>
    <w:rsid w:val="00923FC6"/>
    <w:rsid w:val="0092400F"/>
    <w:rsid w:val="009242DC"/>
    <w:rsid w:val="00924676"/>
    <w:rsid w:val="00924B16"/>
    <w:rsid w:val="00924C6E"/>
    <w:rsid w:val="00924E65"/>
    <w:rsid w:val="009256C3"/>
    <w:rsid w:val="009257EF"/>
    <w:rsid w:val="00925B37"/>
    <w:rsid w:val="00926383"/>
    <w:rsid w:val="00926416"/>
    <w:rsid w:val="009272D7"/>
    <w:rsid w:val="009276F8"/>
    <w:rsid w:val="009277C7"/>
    <w:rsid w:val="00927CB3"/>
    <w:rsid w:val="00927D54"/>
    <w:rsid w:val="00930265"/>
    <w:rsid w:val="009302CB"/>
    <w:rsid w:val="00930511"/>
    <w:rsid w:val="0093090F"/>
    <w:rsid w:val="00930993"/>
    <w:rsid w:val="009309DD"/>
    <w:rsid w:val="00930A80"/>
    <w:rsid w:val="00930D94"/>
    <w:rsid w:val="0093116E"/>
    <w:rsid w:val="009314F5"/>
    <w:rsid w:val="009315B5"/>
    <w:rsid w:val="00931A20"/>
    <w:rsid w:val="0093231E"/>
    <w:rsid w:val="009323ED"/>
    <w:rsid w:val="009330E9"/>
    <w:rsid w:val="00933137"/>
    <w:rsid w:val="00933165"/>
    <w:rsid w:val="0093331F"/>
    <w:rsid w:val="00933521"/>
    <w:rsid w:val="00933AEF"/>
    <w:rsid w:val="00933DC3"/>
    <w:rsid w:val="009342A6"/>
    <w:rsid w:val="00934AED"/>
    <w:rsid w:val="00935411"/>
    <w:rsid w:val="009366E3"/>
    <w:rsid w:val="00936874"/>
    <w:rsid w:val="0093735D"/>
    <w:rsid w:val="009373F9"/>
    <w:rsid w:val="0094075F"/>
    <w:rsid w:val="00940C4A"/>
    <w:rsid w:val="00940C5C"/>
    <w:rsid w:val="009418FD"/>
    <w:rsid w:val="009427B3"/>
    <w:rsid w:val="0094309B"/>
    <w:rsid w:val="00943BD1"/>
    <w:rsid w:val="0094404C"/>
    <w:rsid w:val="00944731"/>
    <w:rsid w:val="00944856"/>
    <w:rsid w:val="00944B5E"/>
    <w:rsid w:val="00944C14"/>
    <w:rsid w:val="009453E1"/>
    <w:rsid w:val="00945DB2"/>
    <w:rsid w:val="0094626E"/>
    <w:rsid w:val="00946503"/>
    <w:rsid w:val="00947AD7"/>
    <w:rsid w:val="00947DCA"/>
    <w:rsid w:val="009501BE"/>
    <w:rsid w:val="0095088E"/>
    <w:rsid w:val="009508EA"/>
    <w:rsid w:val="009509D0"/>
    <w:rsid w:val="00950E1B"/>
    <w:rsid w:val="00951159"/>
    <w:rsid w:val="00951DC4"/>
    <w:rsid w:val="00951E2E"/>
    <w:rsid w:val="00952A63"/>
    <w:rsid w:val="00953FA2"/>
    <w:rsid w:val="009540B0"/>
    <w:rsid w:val="009549AB"/>
    <w:rsid w:val="00955509"/>
    <w:rsid w:val="00955CE4"/>
    <w:rsid w:val="00955D4A"/>
    <w:rsid w:val="00955DEC"/>
    <w:rsid w:val="00956725"/>
    <w:rsid w:val="0095673C"/>
    <w:rsid w:val="009568AB"/>
    <w:rsid w:val="00957131"/>
    <w:rsid w:val="00957673"/>
    <w:rsid w:val="009577E3"/>
    <w:rsid w:val="00957AD5"/>
    <w:rsid w:val="009617AB"/>
    <w:rsid w:val="009619C2"/>
    <w:rsid w:val="009621FC"/>
    <w:rsid w:val="0096288C"/>
    <w:rsid w:val="00962961"/>
    <w:rsid w:val="00962EBA"/>
    <w:rsid w:val="0096429A"/>
    <w:rsid w:val="00965025"/>
    <w:rsid w:val="00965EF4"/>
    <w:rsid w:val="009664F6"/>
    <w:rsid w:val="00966541"/>
    <w:rsid w:val="00966697"/>
    <w:rsid w:val="00966F0E"/>
    <w:rsid w:val="00967564"/>
    <w:rsid w:val="00967EB2"/>
    <w:rsid w:val="00967F06"/>
    <w:rsid w:val="00970109"/>
    <w:rsid w:val="009706BA"/>
    <w:rsid w:val="00970B22"/>
    <w:rsid w:val="00970C6C"/>
    <w:rsid w:val="00970FD0"/>
    <w:rsid w:val="0097158E"/>
    <w:rsid w:val="009715B2"/>
    <w:rsid w:val="00972944"/>
    <w:rsid w:val="00972A4A"/>
    <w:rsid w:val="00972DD6"/>
    <w:rsid w:val="00972E76"/>
    <w:rsid w:val="00972FAE"/>
    <w:rsid w:val="00973B08"/>
    <w:rsid w:val="00973E4C"/>
    <w:rsid w:val="00974F11"/>
    <w:rsid w:val="00975E20"/>
    <w:rsid w:val="00975E59"/>
    <w:rsid w:val="00976291"/>
    <w:rsid w:val="009763C6"/>
    <w:rsid w:val="0097652F"/>
    <w:rsid w:val="00976901"/>
    <w:rsid w:val="00976921"/>
    <w:rsid w:val="009774B0"/>
    <w:rsid w:val="009776E1"/>
    <w:rsid w:val="0097783D"/>
    <w:rsid w:val="00977D72"/>
    <w:rsid w:val="00977EBD"/>
    <w:rsid w:val="00981A15"/>
    <w:rsid w:val="00981C0B"/>
    <w:rsid w:val="0098226B"/>
    <w:rsid w:val="0098236E"/>
    <w:rsid w:val="009823B2"/>
    <w:rsid w:val="00982A1C"/>
    <w:rsid w:val="00983078"/>
    <w:rsid w:val="00983154"/>
    <w:rsid w:val="00983657"/>
    <w:rsid w:val="0098371B"/>
    <w:rsid w:val="00983795"/>
    <w:rsid w:val="009838A5"/>
    <w:rsid w:val="00984AE5"/>
    <w:rsid w:val="00984B1A"/>
    <w:rsid w:val="00984DB5"/>
    <w:rsid w:val="00985787"/>
    <w:rsid w:val="009859D5"/>
    <w:rsid w:val="00985D18"/>
    <w:rsid w:val="00985E0A"/>
    <w:rsid w:val="00985F6D"/>
    <w:rsid w:val="00986647"/>
    <w:rsid w:val="00990344"/>
    <w:rsid w:val="00990A17"/>
    <w:rsid w:val="0099115B"/>
    <w:rsid w:val="009916DB"/>
    <w:rsid w:val="00992483"/>
    <w:rsid w:val="00992C94"/>
    <w:rsid w:val="009934B3"/>
    <w:rsid w:val="0099370D"/>
    <w:rsid w:val="00994085"/>
    <w:rsid w:val="0099524F"/>
    <w:rsid w:val="009952EA"/>
    <w:rsid w:val="0099539B"/>
    <w:rsid w:val="009956E6"/>
    <w:rsid w:val="009958B9"/>
    <w:rsid w:val="009959B0"/>
    <w:rsid w:val="00995D2D"/>
    <w:rsid w:val="00995EC4"/>
    <w:rsid w:val="00995F32"/>
    <w:rsid w:val="0099629A"/>
    <w:rsid w:val="0099668F"/>
    <w:rsid w:val="00996DA3"/>
    <w:rsid w:val="009973D6"/>
    <w:rsid w:val="009976EF"/>
    <w:rsid w:val="009A0639"/>
    <w:rsid w:val="009A0696"/>
    <w:rsid w:val="009A0ACA"/>
    <w:rsid w:val="009A0EEE"/>
    <w:rsid w:val="009A113D"/>
    <w:rsid w:val="009A1159"/>
    <w:rsid w:val="009A11D2"/>
    <w:rsid w:val="009A19E5"/>
    <w:rsid w:val="009A1B93"/>
    <w:rsid w:val="009A2689"/>
    <w:rsid w:val="009A26FD"/>
    <w:rsid w:val="009A2AF7"/>
    <w:rsid w:val="009A2BB6"/>
    <w:rsid w:val="009A31B8"/>
    <w:rsid w:val="009A329D"/>
    <w:rsid w:val="009A3356"/>
    <w:rsid w:val="009A366E"/>
    <w:rsid w:val="009A4387"/>
    <w:rsid w:val="009A4878"/>
    <w:rsid w:val="009A4A25"/>
    <w:rsid w:val="009A4C5B"/>
    <w:rsid w:val="009A58F2"/>
    <w:rsid w:val="009A5D26"/>
    <w:rsid w:val="009A640E"/>
    <w:rsid w:val="009A6606"/>
    <w:rsid w:val="009A7187"/>
    <w:rsid w:val="009A74B7"/>
    <w:rsid w:val="009A7EC2"/>
    <w:rsid w:val="009B0739"/>
    <w:rsid w:val="009B0AED"/>
    <w:rsid w:val="009B0B09"/>
    <w:rsid w:val="009B1811"/>
    <w:rsid w:val="009B24EB"/>
    <w:rsid w:val="009B2B9B"/>
    <w:rsid w:val="009B2FCB"/>
    <w:rsid w:val="009B347E"/>
    <w:rsid w:val="009B35B4"/>
    <w:rsid w:val="009B41BC"/>
    <w:rsid w:val="009B41D5"/>
    <w:rsid w:val="009B4527"/>
    <w:rsid w:val="009B4C83"/>
    <w:rsid w:val="009B4F9D"/>
    <w:rsid w:val="009B4FF7"/>
    <w:rsid w:val="009B5353"/>
    <w:rsid w:val="009B616D"/>
    <w:rsid w:val="009B65F4"/>
    <w:rsid w:val="009B6DE6"/>
    <w:rsid w:val="009B7CBA"/>
    <w:rsid w:val="009B7E4D"/>
    <w:rsid w:val="009C07E6"/>
    <w:rsid w:val="009C0842"/>
    <w:rsid w:val="009C10D3"/>
    <w:rsid w:val="009C12F5"/>
    <w:rsid w:val="009C1E29"/>
    <w:rsid w:val="009C1E5A"/>
    <w:rsid w:val="009C2027"/>
    <w:rsid w:val="009C2392"/>
    <w:rsid w:val="009C248D"/>
    <w:rsid w:val="009C2C6E"/>
    <w:rsid w:val="009C2EE5"/>
    <w:rsid w:val="009C36A4"/>
    <w:rsid w:val="009C38D2"/>
    <w:rsid w:val="009C3F40"/>
    <w:rsid w:val="009C4231"/>
    <w:rsid w:val="009C44FD"/>
    <w:rsid w:val="009C5067"/>
    <w:rsid w:val="009C585B"/>
    <w:rsid w:val="009C58B8"/>
    <w:rsid w:val="009C5CAC"/>
    <w:rsid w:val="009C648F"/>
    <w:rsid w:val="009C6528"/>
    <w:rsid w:val="009C672D"/>
    <w:rsid w:val="009C6B64"/>
    <w:rsid w:val="009C6C07"/>
    <w:rsid w:val="009C7EFE"/>
    <w:rsid w:val="009D07EC"/>
    <w:rsid w:val="009D09B4"/>
    <w:rsid w:val="009D16DC"/>
    <w:rsid w:val="009D1FF8"/>
    <w:rsid w:val="009D20CF"/>
    <w:rsid w:val="009D227A"/>
    <w:rsid w:val="009D284C"/>
    <w:rsid w:val="009D39E5"/>
    <w:rsid w:val="009D3FF8"/>
    <w:rsid w:val="009D4728"/>
    <w:rsid w:val="009D4D5A"/>
    <w:rsid w:val="009D4E38"/>
    <w:rsid w:val="009D683A"/>
    <w:rsid w:val="009D6B3D"/>
    <w:rsid w:val="009D6BF4"/>
    <w:rsid w:val="009D6FAD"/>
    <w:rsid w:val="009D77E1"/>
    <w:rsid w:val="009D799C"/>
    <w:rsid w:val="009E092F"/>
    <w:rsid w:val="009E0ED8"/>
    <w:rsid w:val="009E1CDC"/>
    <w:rsid w:val="009E2BAE"/>
    <w:rsid w:val="009E2C3F"/>
    <w:rsid w:val="009E2F87"/>
    <w:rsid w:val="009E3652"/>
    <w:rsid w:val="009E3F88"/>
    <w:rsid w:val="009E481F"/>
    <w:rsid w:val="009E4855"/>
    <w:rsid w:val="009E4E3A"/>
    <w:rsid w:val="009E50DF"/>
    <w:rsid w:val="009E519A"/>
    <w:rsid w:val="009E51DC"/>
    <w:rsid w:val="009E5569"/>
    <w:rsid w:val="009E5910"/>
    <w:rsid w:val="009E5A0C"/>
    <w:rsid w:val="009E6193"/>
    <w:rsid w:val="009E6229"/>
    <w:rsid w:val="009E62E8"/>
    <w:rsid w:val="009E6402"/>
    <w:rsid w:val="009E7F78"/>
    <w:rsid w:val="009F0331"/>
    <w:rsid w:val="009F0C46"/>
    <w:rsid w:val="009F1383"/>
    <w:rsid w:val="009F1526"/>
    <w:rsid w:val="009F15D7"/>
    <w:rsid w:val="009F2287"/>
    <w:rsid w:val="009F2F90"/>
    <w:rsid w:val="009F3152"/>
    <w:rsid w:val="009F37BC"/>
    <w:rsid w:val="009F4022"/>
    <w:rsid w:val="009F4503"/>
    <w:rsid w:val="009F45F5"/>
    <w:rsid w:val="009F4743"/>
    <w:rsid w:val="009F4775"/>
    <w:rsid w:val="009F4932"/>
    <w:rsid w:val="009F4C23"/>
    <w:rsid w:val="009F51D8"/>
    <w:rsid w:val="009F558C"/>
    <w:rsid w:val="009F5A77"/>
    <w:rsid w:val="009F60F8"/>
    <w:rsid w:val="009F61FC"/>
    <w:rsid w:val="009F6632"/>
    <w:rsid w:val="009F6C18"/>
    <w:rsid w:val="009F6CE4"/>
    <w:rsid w:val="009F6DFE"/>
    <w:rsid w:val="009F6E4B"/>
    <w:rsid w:val="009F74B7"/>
    <w:rsid w:val="009F7733"/>
    <w:rsid w:val="009F79C8"/>
    <w:rsid w:val="009F7B2B"/>
    <w:rsid w:val="00A00847"/>
    <w:rsid w:val="00A00A7C"/>
    <w:rsid w:val="00A010D9"/>
    <w:rsid w:val="00A01404"/>
    <w:rsid w:val="00A01548"/>
    <w:rsid w:val="00A03083"/>
    <w:rsid w:val="00A03144"/>
    <w:rsid w:val="00A03DE3"/>
    <w:rsid w:val="00A03E7C"/>
    <w:rsid w:val="00A046EE"/>
    <w:rsid w:val="00A04ACC"/>
    <w:rsid w:val="00A04B6C"/>
    <w:rsid w:val="00A055E4"/>
    <w:rsid w:val="00A05975"/>
    <w:rsid w:val="00A06AEC"/>
    <w:rsid w:val="00A06CDC"/>
    <w:rsid w:val="00A06FCB"/>
    <w:rsid w:val="00A07A1B"/>
    <w:rsid w:val="00A10354"/>
    <w:rsid w:val="00A103E0"/>
    <w:rsid w:val="00A10BCF"/>
    <w:rsid w:val="00A11825"/>
    <w:rsid w:val="00A11DA6"/>
    <w:rsid w:val="00A120D5"/>
    <w:rsid w:val="00A12800"/>
    <w:rsid w:val="00A12C5D"/>
    <w:rsid w:val="00A1344A"/>
    <w:rsid w:val="00A13C13"/>
    <w:rsid w:val="00A14533"/>
    <w:rsid w:val="00A1475F"/>
    <w:rsid w:val="00A14DD4"/>
    <w:rsid w:val="00A15232"/>
    <w:rsid w:val="00A16EBE"/>
    <w:rsid w:val="00A1703D"/>
    <w:rsid w:val="00A1721F"/>
    <w:rsid w:val="00A175FB"/>
    <w:rsid w:val="00A177FD"/>
    <w:rsid w:val="00A17818"/>
    <w:rsid w:val="00A213D1"/>
    <w:rsid w:val="00A213DD"/>
    <w:rsid w:val="00A21606"/>
    <w:rsid w:val="00A2176E"/>
    <w:rsid w:val="00A2220E"/>
    <w:rsid w:val="00A2252A"/>
    <w:rsid w:val="00A22767"/>
    <w:rsid w:val="00A22AD6"/>
    <w:rsid w:val="00A22B90"/>
    <w:rsid w:val="00A23016"/>
    <w:rsid w:val="00A23024"/>
    <w:rsid w:val="00A230D2"/>
    <w:rsid w:val="00A23176"/>
    <w:rsid w:val="00A23442"/>
    <w:rsid w:val="00A2391C"/>
    <w:rsid w:val="00A23AA8"/>
    <w:rsid w:val="00A251A6"/>
    <w:rsid w:val="00A257D5"/>
    <w:rsid w:val="00A26543"/>
    <w:rsid w:val="00A26A2C"/>
    <w:rsid w:val="00A270CF"/>
    <w:rsid w:val="00A2715B"/>
    <w:rsid w:val="00A279D9"/>
    <w:rsid w:val="00A27CBE"/>
    <w:rsid w:val="00A27DDD"/>
    <w:rsid w:val="00A3088E"/>
    <w:rsid w:val="00A30922"/>
    <w:rsid w:val="00A311C9"/>
    <w:rsid w:val="00A3123D"/>
    <w:rsid w:val="00A31253"/>
    <w:rsid w:val="00A31C26"/>
    <w:rsid w:val="00A31DB2"/>
    <w:rsid w:val="00A33415"/>
    <w:rsid w:val="00A335F4"/>
    <w:rsid w:val="00A33724"/>
    <w:rsid w:val="00A33E9C"/>
    <w:rsid w:val="00A34226"/>
    <w:rsid w:val="00A34565"/>
    <w:rsid w:val="00A34906"/>
    <w:rsid w:val="00A349C9"/>
    <w:rsid w:val="00A34C32"/>
    <w:rsid w:val="00A3556D"/>
    <w:rsid w:val="00A36D76"/>
    <w:rsid w:val="00A37285"/>
    <w:rsid w:val="00A37A09"/>
    <w:rsid w:val="00A37BCE"/>
    <w:rsid w:val="00A37C55"/>
    <w:rsid w:val="00A4058B"/>
    <w:rsid w:val="00A40C5F"/>
    <w:rsid w:val="00A40C78"/>
    <w:rsid w:val="00A412CA"/>
    <w:rsid w:val="00A415E2"/>
    <w:rsid w:val="00A41974"/>
    <w:rsid w:val="00A41A23"/>
    <w:rsid w:val="00A41C5B"/>
    <w:rsid w:val="00A41D74"/>
    <w:rsid w:val="00A421C2"/>
    <w:rsid w:val="00A42DDB"/>
    <w:rsid w:val="00A4325F"/>
    <w:rsid w:val="00A43C4B"/>
    <w:rsid w:val="00A43F8F"/>
    <w:rsid w:val="00A4448D"/>
    <w:rsid w:val="00A444B3"/>
    <w:rsid w:val="00A444D3"/>
    <w:rsid w:val="00A44A7B"/>
    <w:rsid w:val="00A44AC1"/>
    <w:rsid w:val="00A44E4E"/>
    <w:rsid w:val="00A45332"/>
    <w:rsid w:val="00A45C92"/>
    <w:rsid w:val="00A460CD"/>
    <w:rsid w:val="00A46874"/>
    <w:rsid w:val="00A46AB9"/>
    <w:rsid w:val="00A46D0A"/>
    <w:rsid w:val="00A4737E"/>
    <w:rsid w:val="00A47437"/>
    <w:rsid w:val="00A47590"/>
    <w:rsid w:val="00A47F67"/>
    <w:rsid w:val="00A505CB"/>
    <w:rsid w:val="00A50F07"/>
    <w:rsid w:val="00A5146F"/>
    <w:rsid w:val="00A51D98"/>
    <w:rsid w:val="00A533A0"/>
    <w:rsid w:val="00A533CA"/>
    <w:rsid w:val="00A533CB"/>
    <w:rsid w:val="00A53D92"/>
    <w:rsid w:val="00A53DE8"/>
    <w:rsid w:val="00A54070"/>
    <w:rsid w:val="00A54626"/>
    <w:rsid w:val="00A549C9"/>
    <w:rsid w:val="00A55029"/>
    <w:rsid w:val="00A55828"/>
    <w:rsid w:val="00A5582E"/>
    <w:rsid w:val="00A55843"/>
    <w:rsid w:val="00A558D5"/>
    <w:rsid w:val="00A55EC1"/>
    <w:rsid w:val="00A5645F"/>
    <w:rsid w:val="00A5649C"/>
    <w:rsid w:val="00A56955"/>
    <w:rsid w:val="00A571D0"/>
    <w:rsid w:val="00A57836"/>
    <w:rsid w:val="00A57850"/>
    <w:rsid w:val="00A600D2"/>
    <w:rsid w:val="00A60896"/>
    <w:rsid w:val="00A60E3C"/>
    <w:rsid w:val="00A61BBB"/>
    <w:rsid w:val="00A62AF5"/>
    <w:rsid w:val="00A633A4"/>
    <w:rsid w:val="00A6396C"/>
    <w:rsid w:val="00A63E0D"/>
    <w:rsid w:val="00A64301"/>
    <w:rsid w:val="00A64ABB"/>
    <w:rsid w:val="00A64DA6"/>
    <w:rsid w:val="00A6503E"/>
    <w:rsid w:val="00A65B8D"/>
    <w:rsid w:val="00A65CC1"/>
    <w:rsid w:val="00A666E9"/>
    <w:rsid w:val="00A66F5F"/>
    <w:rsid w:val="00A67C4D"/>
    <w:rsid w:val="00A67E85"/>
    <w:rsid w:val="00A67FB8"/>
    <w:rsid w:val="00A703F9"/>
    <w:rsid w:val="00A70CFF"/>
    <w:rsid w:val="00A70E98"/>
    <w:rsid w:val="00A71296"/>
    <w:rsid w:val="00A71519"/>
    <w:rsid w:val="00A71CD6"/>
    <w:rsid w:val="00A71DC9"/>
    <w:rsid w:val="00A71EF4"/>
    <w:rsid w:val="00A7202B"/>
    <w:rsid w:val="00A72E76"/>
    <w:rsid w:val="00A7380C"/>
    <w:rsid w:val="00A73F2F"/>
    <w:rsid w:val="00A741D4"/>
    <w:rsid w:val="00A7435D"/>
    <w:rsid w:val="00A746F9"/>
    <w:rsid w:val="00A748E5"/>
    <w:rsid w:val="00A74BD4"/>
    <w:rsid w:val="00A74D75"/>
    <w:rsid w:val="00A75665"/>
    <w:rsid w:val="00A7592C"/>
    <w:rsid w:val="00A75F62"/>
    <w:rsid w:val="00A768E2"/>
    <w:rsid w:val="00A76A12"/>
    <w:rsid w:val="00A76D81"/>
    <w:rsid w:val="00A76FF7"/>
    <w:rsid w:val="00A77A3E"/>
    <w:rsid w:val="00A77D49"/>
    <w:rsid w:val="00A77F95"/>
    <w:rsid w:val="00A802D7"/>
    <w:rsid w:val="00A806F2"/>
    <w:rsid w:val="00A807D0"/>
    <w:rsid w:val="00A808BE"/>
    <w:rsid w:val="00A80A54"/>
    <w:rsid w:val="00A8186E"/>
    <w:rsid w:val="00A822FC"/>
    <w:rsid w:val="00A824E2"/>
    <w:rsid w:val="00A8251A"/>
    <w:rsid w:val="00A82571"/>
    <w:rsid w:val="00A825C6"/>
    <w:rsid w:val="00A8282D"/>
    <w:rsid w:val="00A82967"/>
    <w:rsid w:val="00A83015"/>
    <w:rsid w:val="00A8328E"/>
    <w:rsid w:val="00A83384"/>
    <w:rsid w:val="00A8382D"/>
    <w:rsid w:val="00A83F12"/>
    <w:rsid w:val="00A83FC3"/>
    <w:rsid w:val="00A84005"/>
    <w:rsid w:val="00A84030"/>
    <w:rsid w:val="00A84D13"/>
    <w:rsid w:val="00A852FB"/>
    <w:rsid w:val="00A856AA"/>
    <w:rsid w:val="00A857CA"/>
    <w:rsid w:val="00A85946"/>
    <w:rsid w:val="00A85ED8"/>
    <w:rsid w:val="00A86156"/>
    <w:rsid w:val="00A86F83"/>
    <w:rsid w:val="00A878D7"/>
    <w:rsid w:val="00A87BBD"/>
    <w:rsid w:val="00A87CDF"/>
    <w:rsid w:val="00A902DA"/>
    <w:rsid w:val="00A91994"/>
    <w:rsid w:val="00A91AFF"/>
    <w:rsid w:val="00A91D0D"/>
    <w:rsid w:val="00A92171"/>
    <w:rsid w:val="00A925E7"/>
    <w:rsid w:val="00A92649"/>
    <w:rsid w:val="00A92F1D"/>
    <w:rsid w:val="00A9324B"/>
    <w:rsid w:val="00A93331"/>
    <w:rsid w:val="00A93A19"/>
    <w:rsid w:val="00A93F2F"/>
    <w:rsid w:val="00A9447A"/>
    <w:rsid w:val="00A948AD"/>
    <w:rsid w:val="00A949FE"/>
    <w:rsid w:val="00A94B5D"/>
    <w:rsid w:val="00A94F2B"/>
    <w:rsid w:val="00A95127"/>
    <w:rsid w:val="00A95A92"/>
    <w:rsid w:val="00A962D2"/>
    <w:rsid w:val="00A962E8"/>
    <w:rsid w:val="00A96403"/>
    <w:rsid w:val="00A97718"/>
    <w:rsid w:val="00A97D75"/>
    <w:rsid w:val="00A97DD2"/>
    <w:rsid w:val="00AA08C8"/>
    <w:rsid w:val="00AA0ABD"/>
    <w:rsid w:val="00AA0BA6"/>
    <w:rsid w:val="00AA1021"/>
    <w:rsid w:val="00AA1A4A"/>
    <w:rsid w:val="00AA1BD2"/>
    <w:rsid w:val="00AA1EC5"/>
    <w:rsid w:val="00AA2593"/>
    <w:rsid w:val="00AA2EA3"/>
    <w:rsid w:val="00AA310E"/>
    <w:rsid w:val="00AA3464"/>
    <w:rsid w:val="00AA3840"/>
    <w:rsid w:val="00AA3CCA"/>
    <w:rsid w:val="00AA3E72"/>
    <w:rsid w:val="00AA40AA"/>
    <w:rsid w:val="00AA40D8"/>
    <w:rsid w:val="00AA48F6"/>
    <w:rsid w:val="00AA5065"/>
    <w:rsid w:val="00AA62BC"/>
    <w:rsid w:val="00AA6344"/>
    <w:rsid w:val="00AA63B3"/>
    <w:rsid w:val="00AA673D"/>
    <w:rsid w:val="00AA7CAD"/>
    <w:rsid w:val="00AB0161"/>
    <w:rsid w:val="00AB048A"/>
    <w:rsid w:val="00AB0C59"/>
    <w:rsid w:val="00AB0D33"/>
    <w:rsid w:val="00AB0E1A"/>
    <w:rsid w:val="00AB1236"/>
    <w:rsid w:val="00AB132A"/>
    <w:rsid w:val="00AB1FA4"/>
    <w:rsid w:val="00AB20CB"/>
    <w:rsid w:val="00AB24FA"/>
    <w:rsid w:val="00AB2525"/>
    <w:rsid w:val="00AB2828"/>
    <w:rsid w:val="00AB2F2A"/>
    <w:rsid w:val="00AB365F"/>
    <w:rsid w:val="00AB3BE9"/>
    <w:rsid w:val="00AB40F2"/>
    <w:rsid w:val="00AB439A"/>
    <w:rsid w:val="00AB43F7"/>
    <w:rsid w:val="00AB4928"/>
    <w:rsid w:val="00AB55F5"/>
    <w:rsid w:val="00AB55FE"/>
    <w:rsid w:val="00AB577D"/>
    <w:rsid w:val="00AB5B1C"/>
    <w:rsid w:val="00AB5E8A"/>
    <w:rsid w:val="00AB69FD"/>
    <w:rsid w:val="00AB6B2B"/>
    <w:rsid w:val="00AB6D87"/>
    <w:rsid w:val="00AB708C"/>
    <w:rsid w:val="00AB709C"/>
    <w:rsid w:val="00AB71E2"/>
    <w:rsid w:val="00AB7A0F"/>
    <w:rsid w:val="00AC05F8"/>
    <w:rsid w:val="00AC112A"/>
    <w:rsid w:val="00AC1348"/>
    <w:rsid w:val="00AC1FCC"/>
    <w:rsid w:val="00AC3564"/>
    <w:rsid w:val="00AC3722"/>
    <w:rsid w:val="00AC3F0E"/>
    <w:rsid w:val="00AC4E8A"/>
    <w:rsid w:val="00AC4F5E"/>
    <w:rsid w:val="00AC58A1"/>
    <w:rsid w:val="00AC5B02"/>
    <w:rsid w:val="00AC5D68"/>
    <w:rsid w:val="00AC5F1E"/>
    <w:rsid w:val="00AC64E4"/>
    <w:rsid w:val="00AC6606"/>
    <w:rsid w:val="00AC66A9"/>
    <w:rsid w:val="00AC67E2"/>
    <w:rsid w:val="00AC6C04"/>
    <w:rsid w:val="00AC6D44"/>
    <w:rsid w:val="00AC70F8"/>
    <w:rsid w:val="00AC727A"/>
    <w:rsid w:val="00AC7DF2"/>
    <w:rsid w:val="00AD00D2"/>
    <w:rsid w:val="00AD0248"/>
    <w:rsid w:val="00AD05C7"/>
    <w:rsid w:val="00AD2010"/>
    <w:rsid w:val="00AD21E0"/>
    <w:rsid w:val="00AD234F"/>
    <w:rsid w:val="00AD25A2"/>
    <w:rsid w:val="00AD30DA"/>
    <w:rsid w:val="00AD3633"/>
    <w:rsid w:val="00AD3681"/>
    <w:rsid w:val="00AD39D5"/>
    <w:rsid w:val="00AD431D"/>
    <w:rsid w:val="00AD4B09"/>
    <w:rsid w:val="00AD4E5D"/>
    <w:rsid w:val="00AD4FA2"/>
    <w:rsid w:val="00AD50F4"/>
    <w:rsid w:val="00AD58CD"/>
    <w:rsid w:val="00AD5CB2"/>
    <w:rsid w:val="00AD5D9D"/>
    <w:rsid w:val="00AD6241"/>
    <w:rsid w:val="00AD6435"/>
    <w:rsid w:val="00AD751C"/>
    <w:rsid w:val="00AD7623"/>
    <w:rsid w:val="00AD78DF"/>
    <w:rsid w:val="00AD7CE0"/>
    <w:rsid w:val="00AE01CC"/>
    <w:rsid w:val="00AE1536"/>
    <w:rsid w:val="00AE15A4"/>
    <w:rsid w:val="00AE1C79"/>
    <w:rsid w:val="00AE1E3E"/>
    <w:rsid w:val="00AE214F"/>
    <w:rsid w:val="00AE25D1"/>
    <w:rsid w:val="00AE3041"/>
    <w:rsid w:val="00AE33F2"/>
    <w:rsid w:val="00AE3919"/>
    <w:rsid w:val="00AE48A5"/>
    <w:rsid w:val="00AE4D58"/>
    <w:rsid w:val="00AE4EEC"/>
    <w:rsid w:val="00AE5A12"/>
    <w:rsid w:val="00AE5ECA"/>
    <w:rsid w:val="00AE6546"/>
    <w:rsid w:val="00AE6D00"/>
    <w:rsid w:val="00AF0110"/>
    <w:rsid w:val="00AF01DD"/>
    <w:rsid w:val="00AF04F0"/>
    <w:rsid w:val="00AF0678"/>
    <w:rsid w:val="00AF0BE8"/>
    <w:rsid w:val="00AF0CA2"/>
    <w:rsid w:val="00AF0E0E"/>
    <w:rsid w:val="00AF16D2"/>
    <w:rsid w:val="00AF1B92"/>
    <w:rsid w:val="00AF1C15"/>
    <w:rsid w:val="00AF1FE7"/>
    <w:rsid w:val="00AF2EC5"/>
    <w:rsid w:val="00AF3417"/>
    <w:rsid w:val="00AF3AF7"/>
    <w:rsid w:val="00AF3C05"/>
    <w:rsid w:val="00AF3D20"/>
    <w:rsid w:val="00AF4313"/>
    <w:rsid w:val="00AF4377"/>
    <w:rsid w:val="00AF44B1"/>
    <w:rsid w:val="00AF4E96"/>
    <w:rsid w:val="00AF55E5"/>
    <w:rsid w:val="00AF5652"/>
    <w:rsid w:val="00AF59A0"/>
    <w:rsid w:val="00AF5F64"/>
    <w:rsid w:val="00AF6AD6"/>
    <w:rsid w:val="00AF6BE5"/>
    <w:rsid w:val="00AF74A3"/>
    <w:rsid w:val="00AF7601"/>
    <w:rsid w:val="00AF7A97"/>
    <w:rsid w:val="00AF7C83"/>
    <w:rsid w:val="00B00B7D"/>
    <w:rsid w:val="00B00EFE"/>
    <w:rsid w:val="00B01248"/>
    <w:rsid w:val="00B01A77"/>
    <w:rsid w:val="00B03B4C"/>
    <w:rsid w:val="00B04064"/>
    <w:rsid w:val="00B040A6"/>
    <w:rsid w:val="00B04D6D"/>
    <w:rsid w:val="00B05008"/>
    <w:rsid w:val="00B05144"/>
    <w:rsid w:val="00B055A4"/>
    <w:rsid w:val="00B05D32"/>
    <w:rsid w:val="00B05E41"/>
    <w:rsid w:val="00B0663C"/>
    <w:rsid w:val="00B0673B"/>
    <w:rsid w:val="00B06B77"/>
    <w:rsid w:val="00B06DA5"/>
    <w:rsid w:val="00B074A8"/>
    <w:rsid w:val="00B0774F"/>
    <w:rsid w:val="00B07BB7"/>
    <w:rsid w:val="00B07E2C"/>
    <w:rsid w:val="00B1029D"/>
    <w:rsid w:val="00B10B3A"/>
    <w:rsid w:val="00B10C24"/>
    <w:rsid w:val="00B10D05"/>
    <w:rsid w:val="00B11050"/>
    <w:rsid w:val="00B1137F"/>
    <w:rsid w:val="00B11448"/>
    <w:rsid w:val="00B1169D"/>
    <w:rsid w:val="00B116D5"/>
    <w:rsid w:val="00B11CCF"/>
    <w:rsid w:val="00B11DC5"/>
    <w:rsid w:val="00B12651"/>
    <w:rsid w:val="00B128D3"/>
    <w:rsid w:val="00B13600"/>
    <w:rsid w:val="00B138E7"/>
    <w:rsid w:val="00B14D3F"/>
    <w:rsid w:val="00B1539B"/>
    <w:rsid w:val="00B15660"/>
    <w:rsid w:val="00B15745"/>
    <w:rsid w:val="00B1578E"/>
    <w:rsid w:val="00B1587B"/>
    <w:rsid w:val="00B15F9B"/>
    <w:rsid w:val="00B16822"/>
    <w:rsid w:val="00B16C48"/>
    <w:rsid w:val="00B17632"/>
    <w:rsid w:val="00B17849"/>
    <w:rsid w:val="00B178FB"/>
    <w:rsid w:val="00B20D0A"/>
    <w:rsid w:val="00B211EB"/>
    <w:rsid w:val="00B21308"/>
    <w:rsid w:val="00B216A2"/>
    <w:rsid w:val="00B21C68"/>
    <w:rsid w:val="00B2294E"/>
    <w:rsid w:val="00B237AB"/>
    <w:rsid w:val="00B23913"/>
    <w:rsid w:val="00B241FC"/>
    <w:rsid w:val="00B25085"/>
    <w:rsid w:val="00B25195"/>
    <w:rsid w:val="00B25562"/>
    <w:rsid w:val="00B259BA"/>
    <w:rsid w:val="00B259ED"/>
    <w:rsid w:val="00B263BE"/>
    <w:rsid w:val="00B2645E"/>
    <w:rsid w:val="00B26480"/>
    <w:rsid w:val="00B26C4E"/>
    <w:rsid w:val="00B275C4"/>
    <w:rsid w:val="00B30850"/>
    <w:rsid w:val="00B313B4"/>
    <w:rsid w:val="00B31E0B"/>
    <w:rsid w:val="00B31E6E"/>
    <w:rsid w:val="00B32C47"/>
    <w:rsid w:val="00B32F70"/>
    <w:rsid w:val="00B33387"/>
    <w:rsid w:val="00B3384F"/>
    <w:rsid w:val="00B33AE2"/>
    <w:rsid w:val="00B33DF4"/>
    <w:rsid w:val="00B34254"/>
    <w:rsid w:val="00B34569"/>
    <w:rsid w:val="00B34A51"/>
    <w:rsid w:val="00B359CC"/>
    <w:rsid w:val="00B359E2"/>
    <w:rsid w:val="00B35AF9"/>
    <w:rsid w:val="00B36105"/>
    <w:rsid w:val="00B36231"/>
    <w:rsid w:val="00B364CE"/>
    <w:rsid w:val="00B367D8"/>
    <w:rsid w:val="00B3713D"/>
    <w:rsid w:val="00B379E2"/>
    <w:rsid w:val="00B40C95"/>
    <w:rsid w:val="00B415D5"/>
    <w:rsid w:val="00B41B64"/>
    <w:rsid w:val="00B41B6B"/>
    <w:rsid w:val="00B42552"/>
    <w:rsid w:val="00B42839"/>
    <w:rsid w:val="00B42BB3"/>
    <w:rsid w:val="00B42BF9"/>
    <w:rsid w:val="00B42D1A"/>
    <w:rsid w:val="00B42F28"/>
    <w:rsid w:val="00B42F77"/>
    <w:rsid w:val="00B42FF6"/>
    <w:rsid w:val="00B433A6"/>
    <w:rsid w:val="00B4425C"/>
    <w:rsid w:val="00B4432E"/>
    <w:rsid w:val="00B44876"/>
    <w:rsid w:val="00B449B9"/>
    <w:rsid w:val="00B44BA9"/>
    <w:rsid w:val="00B44F64"/>
    <w:rsid w:val="00B45243"/>
    <w:rsid w:val="00B453D3"/>
    <w:rsid w:val="00B4630B"/>
    <w:rsid w:val="00B47090"/>
    <w:rsid w:val="00B477E3"/>
    <w:rsid w:val="00B47B63"/>
    <w:rsid w:val="00B47DDC"/>
    <w:rsid w:val="00B47EB0"/>
    <w:rsid w:val="00B5094D"/>
    <w:rsid w:val="00B509A6"/>
    <w:rsid w:val="00B50A4D"/>
    <w:rsid w:val="00B50D77"/>
    <w:rsid w:val="00B5147C"/>
    <w:rsid w:val="00B51A6D"/>
    <w:rsid w:val="00B52035"/>
    <w:rsid w:val="00B52282"/>
    <w:rsid w:val="00B524D2"/>
    <w:rsid w:val="00B52A60"/>
    <w:rsid w:val="00B52BA6"/>
    <w:rsid w:val="00B52F23"/>
    <w:rsid w:val="00B532E0"/>
    <w:rsid w:val="00B5342D"/>
    <w:rsid w:val="00B53491"/>
    <w:rsid w:val="00B535FF"/>
    <w:rsid w:val="00B53E68"/>
    <w:rsid w:val="00B53F18"/>
    <w:rsid w:val="00B54B66"/>
    <w:rsid w:val="00B54D1B"/>
    <w:rsid w:val="00B5517E"/>
    <w:rsid w:val="00B55B2B"/>
    <w:rsid w:val="00B560B5"/>
    <w:rsid w:val="00B56739"/>
    <w:rsid w:val="00B60A6D"/>
    <w:rsid w:val="00B61A86"/>
    <w:rsid w:val="00B61BE5"/>
    <w:rsid w:val="00B61C27"/>
    <w:rsid w:val="00B61C8D"/>
    <w:rsid w:val="00B61F00"/>
    <w:rsid w:val="00B62306"/>
    <w:rsid w:val="00B62A96"/>
    <w:rsid w:val="00B6333F"/>
    <w:rsid w:val="00B63454"/>
    <w:rsid w:val="00B63B62"/>
    <w:rsid w:val="00B6452E"/>
    <w:rsid w:val="00B645DE"/>
    <w:rsid w:val="00B6503D"/>
    <w:rsid w:val="00B6547B"/>
    <w:rsid w:val="00B65508"/>
    <w:rsid w:val="00B6562C"/>
    <w:rsid w:val="00B66208"/>
    <w:rsid w:val="00B662C0"/>
    <w:rsid w:val="00B665E1"/>
    <w:rsid w:val="00B666DC"/>
    <w:rsid w:val="00B671E5"/>
    <w:rsid w:val="00B67D18"/>
    <w:rsid w:val="00B70781"/>
    <w:rsid w:val="00B713E3"/>
    <w:rsid w:val="00B719B6"/>
    <w:rsid w:val="00B719FA"/>
    <w:rsid w:val="00B71B6B"/>
    <w:rsid w:val="00B71D30"/>
    <w:rsid w:val="00B7348D"/>
    <w:rsid w:val="00B73D41"/>
    <w:rsid w:val="00B73DC6"/>
    <w:rsid w:val="00B743AE"/>
    <w:rsid w:val="00B74E25"/>
    <w:rsid w:val="00B7546C"/>
    <w:rsid w:val="00B7640F"/>
    <w:rsid w:val="00B76D17"/>
    <w:rsid w:val="00B771CA"/>
    <w:rsid w:val="00B77555"/>
    <w:rsid w:val="00B775CB"/>
    <w:rsid w:val="00B77E42"/>
    <w:rsid w:val="00B80118"/>
    <w:rsid w:val="00B8058F"/>
    <w:rsid w:val="00B806AD"/>
    <w:rsid w:val="00B8084A"/>
    <w:rsid w:val="00B80E57"/>
    <w:rsid w:val="00B81169"/>
    <w:rsid w:val="00B81812"/>
    <w:rsid w:val="00B81D2E"/>
    <w:rsid w:val="00B82115"/>
    <w:rsid w:val="00B82621"/>
    <w:rsid w:val="00B829F9"/>
    <w:rsid w:val="00B82C48"/>
    <w:rsid w:val="00B82E0F"/>
    <w:rsid w:val="00B83616"/>
    <w:rsid w:val="00B83BD5"/>
    <w:rsid w:val="00B83BF7"/>
    <w:rsid w:val="00B844D2"/>
    <w:rsid w:val="00B84DBC"/>
    <w:rsid w:val="00B86C62"/>
    <w:rsid w:val="00B8707F"/>
    <w:rsid w:val="00B87119"/>
    <w:rsid w:val="00B87C1E"/>
    <w:rsid w:val="00B87D3B"/>
    <w:rsid w:val="00B903C0"/>
    <w:rsid w:val="00B90D8D"/>
    <w:rsid w:val="00B91002"/>
    <w:rsid w:val="00B915CB"/>
    <w:rsid w:val="00B92464"/>
    <w:rsid w:val="00B924E6"/>
    <w:rsid w:val="00B92B42"/>
    <w:rsid w:val="00B93863"/>
    <w:rsid w:val="00B93CA2"/>
    <w:rsid w:val="00B93E39"/>
    <w:rsid w:val="00B93E42"/>
    <w:rsid w:val="00B941D7"/>
    <w:rsid w:val="00B94E06"/>
    <w:rsid w:val="00B94F08"/>
    <w:rsid w:val="00B950A4"/>
    <w:rsid w:val="00B9572D"/>
    <w:rsid w:val="00B9582D"/>
    <w:rsid w:val="00B9630F"/>
    <w:rsid w:val="00B96D57"/>
    <w:rsid w:val="00B96F1D"/>
    <w:rsid w:val="00B97444"/>
    <w:rsid w:val="00B977C3"/>
    <w:rsid w:val="00B97C00"/>
    <w:rsid w:val="00BA0A98"/>
    <w:rsid w:val="00BA0DF9"/>
    <w:rsid w:val="00BA1C76"/>
    <w:rsid w:val="00BA2100"/>
    <w:rsid w:val="00BA3134"/>
    <w:rsid w:val="00BA3757"/>
    <w:rsid w:val="00BA3BA5"/>
    <w:rsid w:val="00BA437B"/>
    <w:rsid w:val="00BA4542"/>
    <w:rsid w:val="00BA4678"/>
    <w:rsid w:val="00BA4947"/>
    <w:rsid w:val="00BA4EB1"/>
    <w:rsid w:val="00BA4FB6"/>
    <w:rsid w:val="00BA51DF"/>
    <w:rsid w:val="00BA5CDE"/>
    <w:rsid w:val="00BA64BA"/>
    <w:rsid w:val="00BA65FA"/>
    <w:rsid w:val="00BA70F6"/>
    <w:rsid w:val="00BB069C"/>
    <w:rsid w:val="00BB086A"/>
    <w:rsid w:val="00BB0ADD"/>
    <w:rsid w:val="00BB106E"/>
    <w:rsid w:val="00BB1192"/>
    <w:rsid w:val="00BB2DFB"/>
    <w:rsid w:val="00BB2F22"/>
    <w:rsid w:val="00BB3B6A"/>
    <w:rsid w:val="00BB3EA3"/>
    <w:rsid w:val="00BB403C"/>
    <w:rsid w:val="00BB4B97"/>
    <w:rsid w:val="00BB4E4D"/>
    <w:rsid w:val="00BB530D"/>
    <w:rsid w:val="00BB53B9"/>
    <w:rsid w:val="00BB5CA0"/>
    <w:rsid w:val="00BB685B"/>
    <w:rsid w:val="00BB755A"/>
    <w:rsid w:val="00BB766F"/>
    <w:rsid w:val="00BB7D11"/>
    <w:rsid w:val="00BB7F98"/>
    <w:rsid w:val="00BC096A"/>
    <w:rsid w:val="00BC1199"/>
    <w:rsid w:val="00BC15C2"/>
    <w:rsid w:val="00BC1AC4"/>
    <w:rsid w:val="00BC200B"/>
    <w:rsid w:val="00BC2413"/>
    <w:rsid w:val="00BC31AA"/>
    <w:rsid w:val="00BC3A58"/>
    <w:rsid w:val="00BC3C13"/>
    <w:rsid w:val="00BC3C2C"/>
    <w:rsid w:val="00BC3D83"/>
    <w:rsid w:val="00BC3FA5"/>
    <w:rsid w:val="00BC4394"/>
    <w:rsid w:val="00BC4425"/>
    <w:rsid w:val="00BC46C9"/>
    <w:rsid w:val="00BC4975"/>
    <w:rsid w:val="00BC4ED7"/>
    <w:rsid w:val="00BC4F06"/>
    <w:rsid w:val="00BC5C9C"/>
    <w:rsid w:val="00BC65D3"/>
    <w:rsid w:val="00BC66EC"/>
    <w:rsid w:val="00BC6C33"/>
    <w:rsid w:val="00BC7352"/>
    <w:rsid w:val="00BC76DD"/>
    <w:rsid w:val="00BC7969"/>
    <w:rsid w:val="00BC7B3E"/>
    <w:rsid w:val="00BD0098"/>
    <w:rsid w:val="00BD013D"/>
    <w:rsid w:val="00BD051D"/>
    <w:rsid w:val="00BD06D7"/>
    <w:rsid w:val="00BD0D34"/>
    <w:rsid w:val="00BD1203"/>
    <w:rsid w:val="00BD1FFB"/>
    <w:rsid w:val="00BD22D1"/>
    <w:rsid w:val="00BD233F"/>
    <w:rsid w:val="00BD23E2"/>
    <w:rsid w:val="00BD25C6"/>
    <w:rsid w:val="00BD270B"/>
    <w:rsid w:val="00BD27EE"/>
    <w:rsid w:val="00BD283F"/>
    <w:rsid w:val="00BD2973"/>
    <w:rsid w:val="00BD29F7"/>
    <w:rsid w:val="00BD35B4"/>
    <w:rsid w:val="00BD3655"/>
    <w:rsid w:val="00BD3B5B"/>
    <w:rsid w:val="00BD3CFE"/>
    <w:rsid w:val="00BD3E48"/>
    <w:rsid w:val="00BD4640"/>
    <w:rsid w:val="00BD46E6"/>
    <w:rsid w:val="00BD4A1E"/>
    <w:rsid w:val="00BD4C19"/>
    <w:rsid w:val="00BD4CC5"/>
    <w:rsid w:val="00BD4CF2"/>
    <w:rsid w:val="00BD4DA1"/>
    <w:rsid w:val="00BD531A"/>
    <w:rsid w:val="00BD5585"/>
    <w:rsid w:val="00BD5AF4"/>
    <w:rsid w:val="00BD5D70"/>
    <w:rsid w:val="00BD6237"/>
    <w:rsid w:val="00BD66F5"/>
    <w:rsid w:val="00BD67A7"/>
    <w:rsid w:val="00BD6B26"/>
    <w:rsid w:val="00BD765C"/>
    <w:rsid w:val="00BE147C"/>
    <w:rsid w:val="00BE1C87"/>
    <w:rsid w:val="00BE1EAA"/>
    <w:rsid w:val="00BE233C"/>
    <w:rsid w:val="00BE3346"/>
    <w:rsid w:val="00BE35C1"/>
    <w:rsid w:val="00BE36D7"/>
    <w:rsid w:val="00BE3E5E"/>
    <w:rsid w:val="00BE478F"/>
    <w:rsid w:val="00BE4BD3"/>
    <w:rsid w:val="00BE5607"/>
    <w:rsid w:val="00BE564F"/>
    <w:rsid w:val="00BE683A"/>
    <w:rsid w:val="00BE6E01"/>
    <w:rsid w:val="00BE6FDB"/>
    <w:rsid w:val="00BE78EA"/>
    <w:rsid w:val="00BF0076"/>
    <w:rsid w:val="00BF0365"/>
    <w:rsid w:val="00BF036F"/>
    <w:rsid w:val="00BF0DA0"/>
    <w:rsid w:val="00BF0F99"/>
    <w:rsid w:val="00BF1072"/>
    <w:rsid w:val="00BF2372"/>
    <w:rsid w:val="00BF296D"/>
    <w:rsid w:val="00BF2BD6"/>
    <w:rsid w:val="00BF318D"/>
    <w:rsid w:val="00BF38FB"/>
    <w:rsid w:val="00BF40AA"/>
    <w:rsid w:val="00BF427C"/>
    <w:rsid w:val="00BF44B7"/>
    <w:rsid w:val="00BF476D"/>
    <w:rsid w:val="00BF497E"/>
    <w:rsid w:val="00BF5E5E"/>
    <w:rsid w:val="00C005F4"/>
    <w:rsid w:val="00C00F2B"/>
    <w:rsid w:val="00C016C7"/>
    <w:rsid w:val="00C01CC2"/>
    <w:rsid w:val="00C01CFE"/>
    <w:rsid w:val="00C027EB"/>
    <w:rsid w:val="00C02E3B"/>
    <w:rsid w:val="00C02EDE"/>
    <w:rsid w:val="00C038D6"/>
    <w:rsid w:val="00C04526"/>
    <w:rsid w:val="00C0473D"/>
    <w:rsid w:val="00C04B56"/>
    <w:rsid w:val="00C051E0"/>
    <w:rsid w:val="00C05554"/>
    <w:rsid w:val="00C06187"/>
    <w:rsid w:val="00C062F9"/>
    <w:rsid w:val="00C06DC5"/>
    <w:rsid w:val="00C07267"/>
    <w:rsid w:val="00C07A35"/>
    <w:rsid w:val="00C07D85"/>
    <w:rsid w:val="00C07FBD"/>
    <w:rsid w:val="00C1001F"/>
    <w:rsid w:val="00C100EA"/>
    <w:rsid w:val="00C10857"/>
    <w:rsid w:val="00C10939"/>
    <w:rsid w:val="00C10CEE"/>
    <w:rsid w:val="00C115EA"/>
    <w:rsid w:val="00C11844"/>
    <w:rsid w:val="00C118F3"/>
    <w:rsid w:val="00C11E22"/>
    <w:rsid w:val="00C11EDC"/>
    <w:rsid w:val="00C12AE5"/>
    <w:rsid w:val="00C12D24"/>
    <w:rsid w:val="00C12DC4"/>
    <w:rsid w:val="00C12FB6"/>
    <w:rsid w:val="00C155C4"/>
    <w:rsid w:val="00C15E7C"/>
    <w:rsid w:val="00C15FFF"/>
    <w:rsid w:val="00C16564"/>
    <w:rsid w:val="00C16573"/>
    <w:rsid w:val="00C16814"/>
    <w:rsid w:val="00C16E0B"/>
    <w:rsid w:val="00C175A9"/>
    <w:rsid w:val="00C17692"/>
    <w:rsid w:val="00C1781A"/>
    <w:rsid w:val="00C17DE1"/>
    <w:rsid w:val="00C205A3"/>
    <w:rsid w:val="00C206E1"/>
    <w:rsid w:val="00C20BAD"/>
    <w:rsid w:val="00C20C9B"/>
    <w:rsid w:val="00C21890"/>
    <w:rsid w:val="00C21C06"/>
    <w:rsid w:val="00C2230F"/>
    <w:rsid w:val="00C22899"/>
    <w:rsid w:val="00C2297D"/>
    <w:rsid w:val="00C22FE0"/>
    <w:rsid w:val="00C23385"/>
    <w:rsid w:val="00C233E1"/>
    <w:rsid w:val="00C23A38"/>
    <w:rsid w:val="00C23B71"/>
    <w:rsid w:val="00C245F6"/>
    <w:rsid w:val="00C24793"/>
    <w:rsid w:val="00C25352"/>
    <w:rsid w:val="00C25672"/>
    <w:rsid w:val="00C25CD1"/>
    <w:rsid w:val="00C26692"/>
    <w:rsid w:val="00C26932"/>
    <w:rsid w:val="00C26A5E"/>
    <w:rsid w:val="00C279FA"/>
    <w:rsid w:val="00C27ECA"/>
    <w:rsid w:val="00C305B6"/>
    <w:rsid w:val="00C305C2"/>
    <w:rsid w:val="00C30811"/>
    <w:rsid w:val="00C30871"/>
    <w:rsid w:val="00C30A25"/>
    <w:rsid w:val="00C30A43"/>
    <w:rsid w:val="00C30D4A"/>
    <w:rsid w:val="00C31270"/>
    <w:rsid w:val="00C3127E"/>
    <w:rsid w:val="00C31BC9"/>
    <w:rsid w:val="00C329D3"/>
    <w:rsid w:val="00C32A65"/>
    <w:rsid w:val="00C32A8C"/>
    <w:rsid w:val="00C32F77"/>
    <w:rsid w:val="00C33293"/>
    <w:rsid w:val="00C33F22"/>
    <w:rsid w:val="00C34520"/>
    <w:rsid w:val="00C34653"/>
    <w:rsid w:val="00C34CA3"/>
    <w:rsid w:val="00C35DEC"/>
    <w:rsid w:val="00C361DF"/>
    <w:rsid w:val="00C3652D"/>
    <w:rsid w:val="00C36A30"/>
    <w:rsid w:val="00C36AB2"/>
    <w:rsid w:val="00C36FDF"/>
    <w:rsid w:val="00C37D51"/>
    <w:rsid w:val="00C4072C"/>
    <w:rsid w:val="00C41091"/>
    <w:rsid w:val="00C41556"/>
    <w:rsid w:val="00C42426"/>
    <w:rsid w:val="00C427E2"/>
    <w:rsid w:val="00C432EE"/>
    <w:rsid w:val="00C43BCC"/>
    <w:rsid w:val="00C443E6"/>
    <w:rsid w:val="00C453FB"/>
    <w:rsid w:val="00C46168"/>
    <w:rsid w:val="00C46182"/>
    <w:rsid w:val="00C4655D"/>
    <w:rsid w:val="00C46A81"/>
    <w:rsid w:val="00C4704A"/>
    <w:rsid w:val="00C47199"/>
    <w:rsid w:val="00C504CD"/>
    <w:rsid w:val="00C5086D"/>
    <w:rsid w:val="00C50A5D"/>
    <w:rsid w:val="00C50BBF"/>
    <w:rsid w:val="00C51954"/>
    <w:rsid w:val="00C51BC9"/>
    <w:rsid w:val="00C520D3"/>
    <w:rsid w:val="00C52510"/>
    <w:rsid w:val="00C52701"/>
    <w:rsid w:val="00C5306F"/>
    <w:rsid w:val="00C53567"/>
    <w:rsid w:val="00C53DF7"/>
    <w:rsid w:val="00C53F47"/>
    <w:rsid w:val="00C5419B"/>
    <w:rsid w:val="00C544A2"/>
    <w:rsid w:val="00C545CF"/>
    <w:rsid w:val="00C54743"/>
    <w:rsid w:val="00C55016"/>
    <w:rsid w:val="00C55148"/>
    <w:rsid w:val="00C572B0"/>
    <w:rsid w:val="00C5747E"/>
    <w:rsid w:val="00C5784A"/>
    <w:rsid w:val="00C57FCC"/>
    <w:rsid w:val="00C6076E"/>
    <w:rsid w:val="00C6092E"/>
    <w:rsid w:val="00C60F85"/>
    <w:rsid w:val="00C61FCF"/>
    <w:rsid w:val="00C627AB"/>
    <w:rsid w:val="00C62AD1"/>
    <w:rsid w:val="00C638EE"/>
    <w:rsid w:val="00C647A1"/>
    <w:rsid w:val="00C64DD9"/>
    <w:rsid w:val="00C65070"/>
    <w:rsid w:val="00C650EC"/>
    <w:rsid w:val="00C652D3"/>
    <w:rsid w:val="00C6670C"/>
    <w:rsid w:val="00C66878"/>
    <w:rsid w:val="00C66CE5"/>
    <w:rsid w:val="00C66DCB"/>
    <w:rsid w:val="00C67591"/>
    <w:rsid w:val="00C67786"/>
    <w:rsid w:val="00C67DC8"/>
    <w:rsid w:val="00C7059C"/>
    <w:rsid w:val="00C7101D"/>
    <w:rsid w:val="00C71E12"/>
    <w:rsid w:val="00C720BA"/>
    <w:rsid w:val="00C7230C"/>
    <w:rsid w:val="00C72E66"/>
    <w:rsid w:val="00C72FBC"/>
    <w:rsid w:val="00C730E2"/>
    <w:rsid w:val="00C733A2"/>
    <w:rsid w:val="00C738B0"/>
    <w:rsid w:val="00C73DF9"/>
    <w:rsid w:val="00C73E44"/>
    <w:rsid w:val="00C73FF7"/>
    <w:rsid w:val="00C74C5A"/>
    <w:rsid w:val="00C75121"/>
    <w:rsid w:val="00C75171"/>
    <w:rsid w:val="00C7550F"/>
    <w:rsid w:val="00C75854"/>
    <w:rsid w:val="00C75B66"/>
    <w:rsid w:val="00C76940"/>
    <w:rsid w:val="00C76C37"/>
    <w:rsid w:val="00C77C0A"/>
    <w:rsid w:val="00C807D9"/>
    <w:rsid w:val="00C8177E"/>
    <w:rsid w:val="00C81F6B"/>
    <w:rsid w:val="00C8218C"/>
    <w:rsid w:val="00C8231C"/>
    <w:rsid w:val="00C83CA4"/>
    <w:rsid w:val="00C857CB"/>
    <w:rsid w:val="00C86A7A"/>
    <w:rsid w:val="00C87455"/>
    <w:rsid w:val="00C875A3"/>
    <w:rsid w:val="00C878A0"/>
    <w:rsid w:val="00C87CA4"/>
    <w:rsid w:val="00C9034E"/>
    <w:rsid w:val="00C905BB"/>
    <w:rsid w:val="00C91CE5"/>
    <w:rsid w:val="00C92153"/>
    <w:rsid w:val="00C9234B"/>
    <w:rsid w:val="00C923F9"/>
    <w:rsid w:val="00C92603"/>
    <w:rsid w:val="00C92B84"/>
    <w:rsid w:val="00C92BA1"/>
    <w:rsid w:val="00C93673"/>
    <w:rsid w:val="00C93CFB"/>
    <w:rsid w:val="00C941D4"/>
    <w:rsid w:val="00C946CC"/>
    <w:rsid w:val="00C94DC2"/>
    <w:rsid w:val="00C9512A"/>
    <w:rsid w:val="00C9523E"/>
    <w:rsid w:val="00C954A2"/>
    <w:rsid w:val="00C957D9"/>
    <w:rsid w:val="00C95C5A"/>
    <w:rsid w:val="00C95D4A"/>
    <w:rsid w:val="00C96305"/>
    <w:rsid w:val="00C97534"/>
    <w:rsid w:val="00C9792D"/>
    <w:rsid w:val="00C9799D"/>
    <w:rsid w:val="00C97A27"/>
    <w:rsid w:val="00C97D27"/>
    <w:rsid w:val="00C97FEE"/>
    <w:rsid w:val="00CA061C"/>
    <w:rsid w:val="00CA0C17"/>
    <w:rsid w:val="00CA156D"/>
    <w:rsid w:val="00CA1974"/>
    <w:rsid w:val="00CA2022"/>
    <w:rsid w:val="00CA20DC"/>
    <w:rsid w:val="00CA2611"/>
    <w:rsid w:val="00CA27DC"/>
    <w:rsid w:val="00CA30AF"/>
    <w:rsid w:val="00CA31B4"/>
    <w:rsid w:val="00CA4A08"/>
    <w:rsid w:val="00CA4B72"/>
    <w:rsid w:val="00CA4D4A"/>
    <w:rsid w:val="00CA572C"/>
    <w:rsid w:val="00CA5A40"/>
    <w:rsid w:val="00CA5BBD"/>
    <w:rsid w:val="00CA5F11"/>
    <w:rsid w:val="00CA6C44"/>
    <w:rsid w:val="00CA6DF7"/>
    <w:rsid w:val="00CA7068"/>
    <w:rsid w:val="00CA70A3"/>
    <w:rsid w:val="00CA7345"/>
    <w:rsid w:val="00CA7404"/>
    <w:rsid w:val="00CB0311"/>
    <w:rsid w:val="00CB064A"/>
    <w:rsid w:val="00CB097A"/>
    <w:rsid w:val="00CB0B1F"/>
    <w:rsid w:val="00CB1A05"/>
    <w:rsid w:val="00CB1B19"/>
    <w:rsid w:val="00CB1BC2"/>
    <w:rsid w:val="00CB1DE3"/>
    <w:rsid w:val="00CB2AF5"/>
    <w:rsid w:val="00CB2B28"/>
    <w:rsid w:val="00CB2B3A"/>
    <w:rsid w:val="00CB2BBB"/>
    <w:rsid w:val="00CB2F38"/>
    <w:rsid w:val="00CB373D"/>
    <w:rsid w:val="00CB3BB4"/>
    <w:rsid w:val="00CB3D92"/>
    <w:rsid w:val="00CB50EB"/>
    <w:rsid w:val="00CB5308"/>
    <w:rsid w:val="00CB5CBB"/>
    <w:rsid w:val="00CB648D"/>
    <w:rsid w:val="00CB69CA"/>
    <w:rsid w:val="00CB6A63"/>
    <w:rsid w:val="00CB6DAB"/>
    <w:rsid w:val="00CB75F7"/>
    <w:rsid w:val="00CB779C"/>
    <w:rsid w:val="00CC012A"/>
    <w:rsid w:val="00CC0222"/>
    <w:rsid w:val="00CC0A77"/>
    <w:rsid w:val="00CC0AE7"/>
    <w:rsid w:val="00CC0C6E"/>
    <w:rsid w:val="00CC1031"/>
    <w:rsid w:val="00CC1935"/>
    <w:rsid w:val="00CC1B74"/>
    <w:rsid w:val="00CC1F0E"/>
    <w:rsid w:val="00CC2DBC"/>
    <w:rsid w:val="00CC2E94"/>
    <w:rsid w:val="00CC3560"/>
    <w:rsid w:val="00CC37E0"/>
    <w:rsid w:val="00CC3B53"/>
    <w:rsid w:val="00CC3D4F"/>
    <w:rsid w:val="00CC464E"/>
    <w:rsid w:val="00CC4DA9"/>
    <w:rsid w:val="00CC555A"/>
    <w:rsid w:val="00CC5A33"/>
    <w:rsid w:val="00CC698B"/>
    <w:rsid w:val="00CC6F9F"/>
    <w:rsid w:val="00CC760F"/>
    <w:rsid w:val="00CC776B"/>
    <w:rsid w:val="00CD03A0"/>
    <w:rsid w:val="00CD0629"/>
    <w:rsid w:val="00CD076A"/>
    <w:rsid w:val="00CD0EB3"/>
    <w:rsid w:val="00CD0F1E"/>
    <w:rsid w:val="00CD1BBB"/>
    <w:rsid w:val="00CD1C37"/>
    <w:rsid w:val="00CD1C89"/>
    <w:rsid w:val="00CD20B1"/>
    <w:rsid w:val="00CD2119"/>
    <w:rsid w:val="00CD239E"/>
    <w:rsid w:val="00CD3945"/>
    <w:rsid w:val="00CD3F73"/>
    <w:rsid w:val="00CD46CA"/>
    <w:rsid w:val="00CD4CC4"/>
    <w:rsid w:val="00CD515D"/>
    <w:rsid w:val="00CD5589"/>
    <w:rsid w:val="00CD58C0"/>
    <w:rsid w:val="00CD5A9F"/>
    <w:rsid w:val="00CD5C7B"/>
    <w:rsid w:val="00CD6B0D"/>
    <w:rsid w:val="00CD76A9"/>
    <w:rsid w:val="00CD7870"/>
    <w:rsid w:val="00CD7911"/>
    <w:rsid w:val="00CD7918"/>
    <w:rsid w:val="00CE007F"/>
    <w:rsid w:val="00CE043A"/>
    <w:rsid w:val="00CE138A"/>
    <w:rsid w:val="00CE1393"/>
    <w:rsid w:val="00CE1B98"/>
    <w:rsid w:val="00CE206A"/>
    <w:rsid w:val="00CE20E6"/>
    <w:rsid w:val="00CE2290"/>
    <w:rsid w:val="00CE24A5"/>
    <w:rsid w:val="00CE2718"/>
    <w:rsid w:val="00CE38C2"/>
    <w:rsid w:val="00CE3AD3"/>
    <w:rsid w:val="00CE40C5"/>
    <w:rsid w:val="00CE4917"/>
    <w:rsid w:val="00CE4C7B"/>
    <w:rsid w:val="00CE5F1F"/>
    <w:rsid w:val="00CE6BCB"/>
    <w:rsid w:val="00CE6DB1"/>
    <w:rsid w:val="00CE7038"/>
    <w:rsid w:val="00CE7331"/>
    <w:rsid w:val="00CF0222"/>
    <w:rsid w:val="00CF0246"/>
    <w:rsid w:val="00CF0B55"/>
    <w:rsid w:val="00CF0D8C"/>
    <w:rsid w:val="00CF0EB9"/>
    <w:rsid w:val="00CF12C3"/>
    <w:rsid w:val="00CF189B"/>
    <w:rsid w:val="00CF1BA9"/>
    <w:rsid w:val="00CF21A9"/>
    <w:rsid w:val="00CF259C"/>
    <w:rsid w:val="00CF277C"/>
    <w:rsid w:val="00CF2BBB"/>
    <w:rsid w:val="00CF2C0F"/>
    <w:rsid w:val="00CF3390"/>
    <w:rsid w:val="00CF33B1"/>
    <w:rsid w:val="00CF38E3"/>
    <w:rsid w:val="00CF434C"/>
    <w:rsid w:val="00CF64AE"/>
    <w:rsid w:val="00CF6D07"/>
    <w:rsid w:val="00CF7774"/>
    <w:rsid w:val="00CF7F5F"/>
    <w:rsid w:val="00D00338"/>
    <w:rsid w:val="00D003D0"/>
    <w:rsid w:val="00D00712"/>
    <w:rsid w:val="00D00731"/>
    <w:rsid w:val="00D0107B"/>
    <w:rsid w:val="00D011D7"/>
    <w:rsid w:val="00D012B2"/>
    <w:rsid w:val="00D01781"/>
    <w:rsid w:val="00D017F0"/>
    <w:rsid w:val="00D01C1C"/>
    <w:rsid w:val="00D01FC5"/>
    <w:rsid w:val="00D02155"/>
    <w:rsid w:val="00D0292A"/>
    <w:rsid w:val="00D02D9E"/>
    <w:rsid w:val="00D03157"/>
    <w:rsid w:val="00D03462"/>
    <w:rsid w:val="00D0369E"/>
    <w:rsid w:val="00D03AF6"/>
    <w:rsid w:val="00D03F2A"/>
    <w:rsid w:val="00D03FC8"/>
    <w:rsid w:val="00D042B5"/>
    <w:rsid w:val="00D042D1"/>
    <w:rsid w:val="00D0498C"/>
    <w:rsid w:val="00D04B16"/>
    <w:rsid w:val="00D052D5"/>
    <w:rsid w:val="00D052E0"/>
    <w:rsid w:val="00D052E2"/>
    <w:rsid w:val="00D05A52"/>
    <w:rsid w:val="00D06302"/>
    <w:rsid w:val="00D06B41"/>
    <w:rsid w:val="00D06FDA"/>
    <w:rsid w:val="00D07413"/>
    <w:rsid w:val="00D0757E"/>
    <w:rsid w:val="00D0764C"/>
    <w:rsid w:val="00D07F50"/>
    <w:rsid w:val="00D102DD"/>
    <w:rsid w:val="00D10495"/>
    <w:rsid w:val="00D1049F"/>
    <w:rsid w:val="00D10FA9"/>
    <w:rsid w:val="00D1120A"/>
    <w:rsid w:val="00D11647"/>
    <w:rsid w:val="00D11848"/>
    <w:rsid w:val="00D12EC8"/>
    <w:rsid w:val="00D133F5"/>
    <w:rsid w:val="00D13A28"/>
    <w:rsid w:val="00D1436A"/>
    <w:rsid w:val="00D14592"/>
    <w:rsid w:val="00D149AC"/>
    <w:rsid w:val="00D14A91"/>
    <w:rsid w:val="00D150F6"/>
    <w:rsid w:val="00D15808"/>
    <w:rsid w:val="00D16282"/>
    <w:rsid w:val="00D16635"/>
    <w:rsid w:val="00D17045"/>
    <w:rsid w:val="00D17079"/>
    <w:rsid w:val="00D17C95"/>
    <w:rsid w:val="00D20051"/>
    <w:rsid w:val="00D2026C"/>
    <w:rsid w:val="00D20EA7"/>
    <w:rsid w:val="00D213C3"/>
    <w:rsid w:val="00D2195F"/>
    <w:rsid w:val="00D2197E"/>
    <w:rsid w:val="00D22154"/>
    <w:rsid w:val="00D2294E"/>
    <w:rsid w:val="00D22EE8"/>
    <w:rsid w:val="00D22FC2"/>
    <w:rsid w:val="00D23360"/>
    <w:rsid w:val="00D2336A"/>
    <w:rsid w:val="00D233F0"/>
    <w:rsid w:val="00D23835"/>
    <w:rsid w:val="00D239A0"/>
    <w:rsid w:val="00D24446"/>
    <w:rsid w:val="00D24A64"/>
    <w:rsid w:val="00D24BC4"/>
    <w:rsid w:val="00D2534B"/>
    <w:rsid w:val="00D2560A"/>
    <w:rsid w:val="00D25958"/>
    <w:rsid w:val="00D25CFF"/>
    <w:rsid w:val="00D2606A"/>
    <w:rsid w:val="00D26139"/>
    <w:rsid w:val="00D26EAC"/>
    <w:rsid w:val="00D27357"/>
    <w:rsid w:val="00D27F26"/>
    <w:rsid w:val="00D301A3"/>
    <w:rsid w:val="00D30AD4"/>
    <w:rsid w:val="00D30ED3"/>
    <w:rsid w:val="00D3163F"/>
    <w:rsid w:val="00D3190D"/>
    <w:rsid w:val="00D31AAA"/>
    <w:rsid w:val="00D322D6"/>
    <w:rsid w:val="00D32524"/>
    <w:rsid w:val="00D32827"/>
    <w:rsid w:val="00D32987"/>
    <w:rsid w:val="00D32F3F"/>
    <w:rsid w:val="00D33174"/>
    <w:rsid w:val="00D3327B"/>
    <w:rsid w:val="00D332FF"/>
    <w:rsid w:val="00D3367C"/>
    <w:rsid w:val="00D36480"/>
    <w:rsid w:val="00D36592"/>
    <w:rsid w:val="00D37643"/>
    <w:rsid w:val="00D3796C"/>
    <w:rsid w:val="00D37C1F"/>
    <w:rsid w:val="00D40226"/>
    <w:rsid w:val="00D40274"/>
    <w:rsid w:val="00D402A3"/>
    <w:rsid w:val="00D40350"/>
    <w:rsid w:val="00D415E8"/>
    <w:rsid w:val="00D41ED4"/>
    <w:rsid w:val="00D42258"/>
    <w:rsid w:val="00D42477"/>
    <w:rsid w:val="00D425D7"/>
    <w:rsid w:val="00D426E3"/>
    <w:rsid w:val="00D42759"/>
    <w:rsid w:val="00D42AC3"/>
    <w:rsid w:val="00D43C86"/>
    <w:rsid w:val="00D43D99"/>
    <w:rsid w:val="00D43FC2"/>
    <w:rsid w:val="00D443CD"/>
    <w:rsid w:val="00D4440F"/>
    <w:rsid w:val="00D45326"/>
    <w:rsid w:val="00D4583A"/>
    <w:rsid w:val="00D45ED6"/>
    <w:rsid w:val="00D45F0D"/>
    <w:rsid w:val="00D46148"/>
    <w:rsid w:val="00D47CF9"/>
    <w:rsid w:val="00D509F8"/>
    <w:rsid w:val="00D50A9B"/>
    <w:rsid w:val="00D50C15"/>
    <w:rsid w:val="00D50FFC"/>
    <w:rsid w:val="00D518C0"/>
    <w:rsid w:val="00D519D0"/>
    <w:rsid w:val="00D539FF"/>
    <w:rsid w:val="00D53BBF"/>
    <w:rsid w:val="00D54B63"/>
    <w:rsid w:val="00D54DBC"/>
    <w:rsid w:val="00D55235"/>
    <w:rsid w:val="00D5534D"/>
    <w:rsid w:val="00D55C12"/>
    <w:rsid w:val="00D564E2"/>
    <w:rsid w:val="00D56862"/>
    <w:rsid w:val="00D57258"/>
    <w:rsid w:val="00D572D6"/>
    <w:rsid w:val="00D57544"/>
    <w:rsid w:val="00D60281"/>
    <w:rsid w:val="00D612BF"/>
    <w:rsid w:val="00D612E0"/>
    <w:rsid w:val="00D61B63"/>
    <w:rsid w:val="00D61F4A"/>
    <w:rsid w:val="00D621D9"/>
    <w:rsid w:val="00D62B11"/>
    <w:rsid w:val="00D63769"/>
    <w:rsid w:val="00D6377E"/>
    <w:rsid w:val="00D63882"/>
    <w:rsid w:val="00D63E7A"/>
    <w:rsid w:val="00D63FAB"/>
    <w:rsid w:val="00D64CBA"/>
    <w:rsid w:val="00D64DA2"/>
    <w:rsid w:val="00D64DF5"/>
    <w:rsid w:val="00D64EB7"/>
    <w:rsid w:val="00D65578"/>
    <w:rsid w:val="00D65BEB"/>
    <w:rsid w:val="00D66055"/>
    <w:rsid w:val="00D6628E"/>
    <w:rsid w:val="00D66640"/>
    <w:rsid w:val="00D670FB"/>
    <w:rsid w:val="00D67F0C"/>
    <w:rsid w:val="00D704D5"/>
    <w:rsid w:val="00D70F93"/>
    <w:rsid w:val="00D710B8"/>
    <w:rsid w:val="00D71157"/>
    <w:rsid w:val="00D727C2"/>
    <w:rsid w:val="00D73067"/>
    <w:rsid w:val="00D7332D"/>
    <w:rsid w:val="00D737F9"/>
    <w:rsid w:val="00D73A49"/>
    <w:rsid w:val="00D73EAA"/>
    <w:rsid w:val="00D73EBC"/>
    <w:rsid w:val="00D74208"/>
    <w:rsid w:val="00D74567"/>
    <w:rsid w:val="00D74626"/>
    <w:rsid w:val="00D74ADC"/>
    <w:rsid w:val="00D74B40"/>
    <w:rsid w:val="00D75018"/>
    <w:rsid w:val="00D750C2"/>
    <w:rsid w:val="00D75209"/>
    <w:rsid w:val="00D75519"/>
    <w:rsid w:val="00D75B02"/>
    <w:rsid w:val="00D75C29"/>
    <w:rsid w:val="00D76150"/>
    <w:rsid w:val="00D76D5E"/>
    <w:rsid w:val="00D76D90"/>
    <w:rsid w:val="00D77157"/>
    <w:rsid w:val="00D77239"/>
    <w:rsid w:val="00D77539"/>
    <w:rsid w:val="00D775B5"/>
    <w:rsid w:val="00D77A61"/>
    <w:rsid w:val="00D77D3D"/>
    <w:rsid w:val="00D8037D"/>
    <w:rsid w:val="00D80872"/>
    <w:rsid w:val="00D80BEE"/>
    <w:rsid w:val="00D81426"/>
    <w:rsid w:val="00D8283C"/>
    <w:rsid w:val="00D82AD5"/>
    <w:rsid w:val="00D83099"/>
    <w:rsid w:val="00D839E8"/>
    <w:rsid w:val="00D83B7D"/>
    <w:rsid w:val="00D84B83"/>
    <w:rsid w:val="00D850E2"/>
    <w:rsid w:val="00D85C98"/>
    <w:rsid w:val="00D8647B"/>
    <w:rsid w:val="00D8655E"/>
    <w:rsid w:val="00D8667D"/>
    <w:rsid w:val="00D86697"/>
    <w:rsid w:val="00D86892"/>
    <w:rsid w:val="00D869E9"/>
    <w:rsid w:val="00D86EA9"/>
    <w:rsid w:val="00D87294"/>
    <w:rsid w:val="00D872AD"/>
    <w:rsid w:val="00D8762C"/>
    <w:rsid w:val="00D8779E"/>
    <w:rsid w:val="00D87B35"/>
    <w:rsid w:val="00D87BC6"/>
    <w:rsid w:val="00D87FA2"/>
    <w:rsid w:val="00D91712"/>
    <w:rsid w:val="00D917FD"/>
    <w:rsid w:val="00D92A3C"/>
    <w:rsid w:val="00D9347F"/>
    <w:rsid w:val="00D93B03"/>
    <w:rsid w:val="00D93DD4"/>
    <w:rsid w:val="00D93F7F"/>
    <w:rsid w:val="00D95E47"/>
    <w:rsid w:val="00D9644D"/>
    <w:rsid w:val="00D9678D"/>
    <w:rsid w:val="00D96C03"/>
    <w:rsid w:val="00D96CC1"/>
    <w:rsid w:val="00D96E52"/>
    <w:rsid w:val="00D978F6"/>
    <w:rsid w:val="00D97AF6"/>
    <w:rsid w:val="00D97EF0"/>
    <w:rsid w:val="00DA085F"/>
    <w:rsid w:val="00DA1295"/>
    <w:rsid w:val="00DA14B9"/>
    <w:rsid w:val="00DA15DC"/>
    <w:rsid w:val="00DA1E91"/>
    <w:rsid w:val="00DA1EAA"/>
    <w:rsid w:val="00DA1FFC"/>
    <w:rsid w:val="00DA2D7F"/>
    <w:rsid w:val="00DA3210"/>
    <w:rsid w:val="00DA3A20"/>
    <w:rsid w:val="00DA3C78"/>
    <w:rsid w:val="00DA41CA"/>
    <w:rsid w:val="00DA43A4"/>
    <w:rsid w:val="00DA5034"/>
    <w:rsid w:val="00DA53F9"/>
    <w:rsid w:val="00DA54C1"/>
    <w:rsid w:val="00DA5768"/>
    <w:rsid w:val="00DA5A1E"/>
    <w:rsid w:val="00DA5CB6"/>
    <w:rsid w:val="00DA5F24"/>
    <w:rsid w:val="00DA66DB"/>
    <w:rsid w:val="00DA695F"/>
    <w:rsid w:val="00DA6A53"/>
    <w:rsid w:val="00DA6B72"/>
    <w:rsid w:val="00DA6ED9"/>
    <w:rsid w:val="00DA70AE"/>
    <w:rsid w:val="00DA7A08"/>
    <w:rsid w:val="00DB0A4A"/>
    <w:rsid w:val="00DB0B0E"/>
    <w:rsid w:val="00DB0F66"/>
    <w:rsid w:val="00DB1148"/>
    <w:rsid w:val="00DB172D"/>
    <w:rsid w:val="00DB1CC5"/>
    <w:rsid w:val="00DB2086"/>
    <w:rsid w:val="00DB373E"/>
    <w:rsid w:val="00DB3C49"/>
    <w:rsid w:val="00DB3CAA"/>
    <w:rsid w:val="00DB485F"/>
    <w:rsid w:val="00DB4EAD"/>
    <w:rsid w:val="00DB522B"/>
    <w:rsid w:val="00DB574B"/>
    <w:rsid w:val="00DB6E96"/>
    <w:rsid w:val="00DB6E98"/>
    <w:rsid w:val="00DB700F"/>
    <w:rsid w:val="00DB771F"/>
    <w:rsid w:val="00DB7E2A"/>
    <w:rsid w:val="00DB7E4F"/>
    <w:rsid w:val="00DC033B"/>
    <w:rsid w:val="00DC03FD"/>
    <w:rsid w:val="00DC0489"/>
    <w:rsid w:val="00DC1EFC"/>
    <w:rsid w:val="00DC221B"/>
    <w:rsid w:val="00DC2378"/>
    <w:rsid w:val="00DC2AB2"/>
    <w:rsid w:val="00DC2ABA"/>
    <w:rsid w:val="00DC3352"/>
    <w:rsid w:val="00DC4C97"/>
    <w:rsid w:val="00DC50E9"/>
    <w:rsid w:val="00DC5282"/>
    <w:rsid w:val="00DC53C3"/>
    <w:rsid w:val="00DC59CE"/>
    <w:rsid w:val="00DC5E2D"/>
    <w:rsid w:val="00DC620F"/>
    <w:rsid w:val="00DC6529"/>
    <w:rsid w:val="00DC6622"/>
    <w:rsid w:val="00DC6C61"/>
    <w:rsid w:val="00DC7267"/>
    <w:rsid w:val="00DC73B2"/>
    <w:rsid w:val="00DC76DE"/>
    <w:rsid w:val="00DC78CC"/>
    <w:rsid w:val="00DC7BA4"/>
    <w:rsid w:val="00DD0806"/>
    <w:rsid w:val="00DD0DFA"/>
    <w:rsid w:val="00DD0E3E"/>
    <w:rsid w:val="00DD13CA"/>
    <w:rsid w:val="00DD1A7A"/>
    <w:rsid w:val="00DD1E53"/>
    <w:rsid w:val="00DD1FA2"/>
    <w:rsid w:val="00DD2287"/>
    <w:rsid w:val="00DD27AD"/>
    <w:rsid w:val="00DD2BB2"/>
    <w:rsid w:val="00DD3100"/>
    <w:rsid w:val="00DD3D8E"/>
    <w:rsid w:val="00DD3F5F"/>
    <w:rsid w:val="00DD4872"/>
    <w:rsid w:val="00DD4A06"/>
    <w:rsid w:val="00DD53B1"/>
    <w:rsid w:val="00DD53E8"/>
    <w:rsid w:val="00DD5AFA"/>
    <w:rsid w:val="00DD5D7A"/>
    <w:rsid w:val="00DD5DDB"/>
    <w:rsid w:val="00DD646E"/>
    <w:rsid w:val="00DD6C90"/>
    <w:rsid w:val="00DD749D"/>
    <w:rsid w:val="00DD7519"/>
    <w:rsid w:val="00DD7DFD"/>
    <w:rsid w:val="00DE0AA3"/>
    <w:rsid w:val="00DE0FC8"/>
    <w:rsid w:val="00DE1B21"/>
    <w:rsid w:val="00DE2024"/>
    <w:rsid w:val="00DE206B"/>
    <w:rsid w:val="00DE2380"/>
    <w:rsid w:val="00DE276F"/>
    <w:rsid w:val="00DE2D7B"/>
    <w:rsid w:val="00DE37DF"/>
    <w:rsid w:val="00DE391F"/>
    <w:rsid w:val="00DE3D20"/>
    <w:rsid w:val="00DE4561"/>
    <w:rsid w:val="00DE5164"/>
    <w:rsid w:val="00DE51AF"/>
    <w:rsid w:val="00DE543E"/>
    <w:rsid w:val="00DE6D76"/>
    <w:rsid w:val="00DE7E95"/>
    <w:rsid w:val="00DE7F81"/>
    <w:rsid w:val="00DF003F"/>
    <w:rsid w:val="00DF0E91"/>
    <w:rsid w:val="00DF156C"/>
    <w:rsid w:val="00DF1833"/>
    <w:rsid w:val="00DF1874"/>
    <w:rsid w:val="00DF30B6"/>
    <w:rsid w:val="00DF30EC"/>
    <w:rsid w:val="00DF3A14"/>
    <w:rsid w:val="00DF44F7"/>
    <w:rsid w:val="00DF4828"/>
    <w:rsid w:val="00DF4A96"/>
    <w:rsid w:val="00DF51C3"/>
    <w:rsid w:val="00DF52D6"/>
    <w:rsid w:val="00DF5C22"/>
    <w:rsid w:val="00DF6182"/>
    <w:rsid w:val="00DF698B"/>
    <w:rsid w:val="00DF6A48"/>
    <w:rsid w:val="00DF7029"/>
    <w:rsid w:val="00DF71DD"/>
    <w:rsid w:val="00DF7475"/>
    <w:rsid w:val="00DF7639"/>
    <w:rsid w:val="00DF77E8"/>
    <w:rsid w:val="00DF78FF"/>
    <w:rsid w:val="00E0005D"/>
    <w:rsid w:val="00E0006A"/>
    <w:rsid w:val="00E0016B"/>
    <w:rsid w:val="00E004F9"/>
    <w:rsid w:val="00E009D3"/>
    <w:rsid w:val="00E00B64"/>
    <w:rsid w:val="00E010EA"/>
    <w:rsid w:val="00E0138C"/>
    <w:rsid w:val="00E02268"/>
    <w:rsid w:val="00E026C2"/>
    <w:rsid w:val="00E02CDB"/>
    <w:rsid w:val="00E03645"/>
    <w:rsid w:val="00E03908"/>
    <w:rsid w:val="00E03A9D"/>
    <w:rsid w:val="00E04111"/>
    <w:rsid w:val="00E0458A"/>
    <w:rsid w:val="00E048DD"/>
    <w:rsid w:val="00E04D23"/>
    <w:rsid w:val="00E0526A"/>
    <w:rsid w:val="00E053CE"/>
    <w:rsid w:val="00E05562"/>
    <w:rsid w:val="00E058E5"/>
    <w:rsid w:val="00E063AE"/>
    <w:rsid w:val="00E063F8"/>
    <w:rsid w:val="00E06A66"/>
    <w:rsid w:val="00E06EB6"/>
    <w:rsid w:val="00E07436"/>
    <w:rsid w:val="00E07C37"/>
    <w:rsid w:val="00E10807"/>
    <w:rsid w:val="00E11047"/>
    <w:rsid w:val="00E110F4"/>
    <w:rsid w:val="00E11CDD"/>
    <w:rsid w:val="00E12344"/>
    <w:rsid w:val="00E13DD1"/>
    <w:rsid w:val="00E13F7A"/>
    <w:rsid w:val="00E141C0"/>
    <w:rsid w:val="00E1448A"/>
    <w:rsid w:val="00E144DB"/>
    <w:rsid w:val="00E14570"/>
    <w:rsid w:val="00E1467E"/>
    <w:rsid w:val="00E14698"/>
    <w:rsid w:val="00E151D8"/>
    <w:rsid w:val="00E152D1"/>
    <w:rsid w:val="00E1577C"/>
    <w:rsid w:val="00E1589F"/>
    <w:rsid w:val="00E15B4D"/>
    <w:rsid w:val="00E15D38"/>
    <w:rsid w:val="00E170B4"/>
    <w:rsid w:val="00E17283"/>
    <w:rsid w:val="00E17BDF"/>
    <w:rsid w:val="00E17D18"/>
    <w:rsid w:val="00E20089"/>
    <w:rsid w:val="00E202E9"/>
    <w:rsid w:val="00E203CC"/>
    <w:rsid w:val="00E20787"/>
    <w:rsid w:val="00E20DB6"/>
    <w:rsid w:val="00E20FB8"/>
    <w:rsid w:val="00E21B7D"/>
    <w:rsid w:val="00E21B94"/>
    <w:rsid w:val="00E2224A"/>
    <w:rsid w:val="00E22365"/>
    <w:rsid w:val="00E227A3"/>
    <w:rsid w:val="00E23225"/>
    <w:rsid w:val="00E233CC"/>
    <w:rsid w:val="00E23564"/>
    <w:rsid w:val="00E23697"/>
    <w:rsid w:val="00E23748"/>
    <w:rsid w:val="00E23A85"/>
    <w:rsid w:val="00E24111"/>
    <w:rsid w:val="00E2412C"/>
    <w:rsid w:val="00E24801"/>
    <w:rsid w:val="00E24877"/>
    <w:rsid w:val="00E2495D"/>
    <w:rsid w:val="00E24CFD"/>
    <w:rsid w:val="00E25A76"/>
    <w:rsid w:val="00E25E7C"/>
    <w:rsid w:val="00E26C42"/>
    <w:rsid w:val="00E27274"/>
    <w:rsid w:val="00E2734C"/>
    <w:rsid w:val="00E275B6"/>
    <w:rsid w:val="00E27D7B"/>
    <w:rsid w:val="00E3179D"/>
    <w:rsid w:val="00E318BA"/>
    <w:rsid w:val="00E3287E"/>
    <w:rsid w:val="00E33270"/>
    <w:rsid w:val="00E333D0"/>
    <w:rsid w:val="00E33671"/>
    <w:rsid w:val="00E336D7"/>
    <w:rsid w:val="00E33B63"/>
    <w:rsid w:val="00E3434E"/>
    <w:rsid w:val="00E34676"/>
    <w:rsid w:val="00E352FC"/>
    <w:rsid w:val="00E356A4"/>
    <w:rsid w:val="00E356AA"/>
    <w:rsid w:val="00E35F39"/>
    <w:rsid w:val="00E3632C"/>
    <w:rsid w:val="00E36ABA"/>
    <w:rsid w:val="00E36DF0"/>
    <w:rsid w:val="00E36E39"/>
    <w:rsid w:val="00E370D1"/>
    <w:rsid w:val="00E37D8C"/>
    <w:rsid w:val="00E403DA"/>
    <w:rsid w:val="00E406C8"/>
    <w:rsid w:val="00E40BDD"/>
    <w:rsid w:val="00E40CE9"/>
    <w:rsid w:val="00E412BC"/>
    <w:rsid w:val="00E416E8"/>
    <w:rsid w:val="00E41FC3"/>
    <w:rsid w:val="00E42A65"/>
    <w:rsid w:val="00E42C48"/>
    <w:rsid w:val="00E42FEC"/>
    <w:rsid w:val="00E433EB"/>
    <w:rsid w:val="00E43876"/>
    <w:rsid w:val="00E43A79"/>
    <w:rsid w:val="00E44116"/>
    <w:rsid w:val="00E44354"/>
    <w:rsid w:val="00E4492C"/>
    <w:rsid w:val="00E45652"/>
    <w:rsid w:val="00E458AA"/>
    <w:rsid w:val="00E45BB1"/>
    <w:rsid w:val="00E45EA2"/>
    <w:rsid w:val="00E4647B"/>
    <w:rsid w:val="00E4753B"/>
    <w:rsid w:val="00E47820"/>
    <w:rsid w:val="00E47835"/>
    <w:rsid w:val="00E47A81"/>
    <w:rsid w:val="00E47FCC"/>
    <w:rsid w:val="00E5031C"/>
    <w:rsid w:val="00E50640"/>
    <w:rsid w:val="00E509BB"/>
    <w:rsid w:val="00E519B1"/>
    <w:rsid w:val="00E51B25"/>
    <w:rsid w:val="00E51D8B"/>
    <w:rsid w:val="00E526A6"/>
    <w:rsid w:val="00E535C3"/>
    <w:rsid w:val="00E54004"/>
    <w:rsid w:val="00E54761"/>
    <w:rsid w:val="00E54F6F"/>
    <w:rsid w:val="00E55D75"/>
    <w:rsid w:val="00E55DE0"/>
    <w:rsid w:val="00E563C3"/>
    <w:rsid w:val="00E56464"/>
    <w:rsid w:val="00E565DD"/>
    <w:rsid w:val="00E57F27"/>
    <w:rsid w:val="00E603D0"/>
    <w:rsid w:val="00E604BD"/>
    <w:rsid w:val="00E607E4"/>
    <w:rsid w:val="00E608D3"/>
    <w:rsid w:val="00E60AE4"/>
    <w:rsid w:val="00E60B4C"/>
    <w:rsid w:val="00E60BF7"/>
    <w:rsid w:val="00E60C33"/>
    <w:rsid w:val="00E60CFD"/>
    <w:rsid w:val="00E6134F"/>
    <w:rsid w:val="00E620AD"/>
    <w:rsid w:val="00E62597"/>
    <w:rsid w:val="00E62B3E"/>
    <w:rsid w:val="00E63078"/>
    <w:rsid w:val="00E6320A"/>
    <w:rsid w:val="00E638E4"/>
    <w:rsid w:val="00E639DC"/>
    <w:rsid w:val="00E63DAB"/>
    <w:rsid w:val="00E64905"/>
    <w:rsid w:val="00E64B4C"/>
    <w:rsid w:val="00E64BDC"/>
    <w:rsid w:val="00E64CF4"/>
    <w:rsid w:val="00E64ED1"/>
    <w:rsid w:val="00E656F0"/>
    <w:rsid w:val="00E66083"/>
    <w:rsid w:val="00E67001"/>
    <w:rsid w:val="00E67462"/>
    <w:rsid w:val="00E6774B"/>
    <w:rsid w:val="00E677AF"/>
    <w:rsid w:val="00E7043F"/>
    <w:rsid w:val="00E708EA"/>
    <w:rsid w:val="00E70F18"/>
    <w:rsid w:val="00E7102B"/>
    <w:rsid w:val="00E7110D"/>
    <w:rsid w:val="00E71C5D"/>
    <w:rsid w:val="00E71FFA"/>
    <w:rsid w:val="00E72113"/>
    <w:rsid w:val="00E72436"/>
    <w:rsid w:val="00E72859"/>
    <w:rsid w:val="00E730E7"/>
    <w:rsid w:val="00E73613"/>
    <w:rsid w:val="00E7397A"/>
    <w:rsid w:val="00E73B97"/>
    <w:rsid w:val="00E73BE2"/>
    <w:rsid w:val="00E74681"/>
    <w:rsid w:val="00E74B24"/>
    <w:rsid w:val="00E74B43"/>
    <w:rsid w:val="00E753FD"/>
    <w:rsid w:val="00E7556D"/>
    <w:rsid w:val="00E75673"/>
    <w:rsid w:val="00E75682"/>
    <w:rsid w:val="00E756BC"/>
    <w:rsid w:val="00E75F7E"/>
    <w:rsid w:val="00E7621A"/>
    <w:rsid w:val="00E76E8E"/>
    <w:rsid w:val="00E77331"/>
    <w:rsid w:val="00E80F00"/>
    <w:rsid w:val="00E80F69"/>
    <w:rsid w:val="00E81B9C"/>
    <w:rsid w:val="00E81C24"/>
    <w:rsid w:val="00E81DF3"/>
    <w:rsid w:val="00E820A3"/>
    <w:rsid w:val="00E8283F"/>
    <w:rsid w:val="00E82EF0"/>
    <w:rsid w:val="00E83A2A"/>
    <w:rsid w:val="00E83A44"/>
    <w:rsid w:val="00E84152"/>
    <w:rsid w:val="00E842DA"/>
    <w:rsid w:val="00E84506"/>
    <w:rsid w:val="00E84EEE"/>
    <w:rsid w:val="00E85059"/>
    <w:rsid w:val="00E854EF"/>
    <w:rsid w:val="00E85827"/>
    <w:rsid w:val="00E85D57"/>
    <w:rsid w:val="00E8609D"/>
    <w:rsid w:val="00E860AB"/>
    <w:rsid w:val="00E86C6B"/>
    <w:rsid w:val="00E86CC3"/>
    <w:rsid w:val="00E86D52"/>
    <w:rsid w:val="00E86EA3"/>
    <w:rsid w:val="00E87144"/>
    <w:rsid w:val="00E87AFD"/>
    <w:rsid w:val="00E87F81"/>
    <w:rsid w:val="00E900A3"/>
    <w:rsid w:val="00E90FC9"/>
    <w:rsid w:val="00E913DA"/>
    <w:rsid w:val="00E91655"/>
    <w:rsid w:val="00E9178E"/>
    <w:rsid w:val="00E91C4E"/>
    <w:rsid w:val="00E91DB9"/>
    <w:rsid w:val="00E91E5E"/>
    <w:rsid w:val="00E92139"/>
    <w:rsid w:val="00E92198"/>
    <w:rsid w:val="00E92533"/>
    <w:rsid w:val="00E9282A"/>
    <w:rsid w:val="00E9294C"/>
    <w:rsid w:val="00E931AA"/>
    <w:rsid w:val="00E93B5E"/>
    <w:rsid w:val="00E93DA9"/>
    <w:rsid w:val="00E94190"/>
    <w:rsid w:val="00E943C8"/>
    <w:rsid w:val="00E953AE"/>
    <w:rsid w:val="00E95A08"/>
    <w:rsid w:val="00E96AF0"/>
    <w:rsid w:val="00E9710D"/>
    <w:rsid w:val="00E97266"/>
    <w:rsid w:val="00E9757D"/>
    <w:rsid w:val="00E97643"/>
    <w:rsid w:val="00E97E23"/>
    <w:rsid w:val="00EA08F5"/>
    <w:rsid w:val="00EA0B0D"/>
    <w:rsid w:val="00EA1835"/>
    <w:rsid w:val="00EA202C"/>
    <w:rsid w:val="00EA223B"/>
    <w:rsid w:val="00EA27FE"/>
    <w:rsid w:val="00EA2C2F"/>
    <w:rsid w:val="00EA3038"/>
    <w:rsid w:val="00EA3301"/>
    <w:rsid w:val="00EA358B"/>
    <w:rsid w:val="00EA37DC"/>
    <w:rsid w:val="00EA3BF3"/>
    <w:rsid w:val="00EA497B"/>
    <w:rsid w:val="00EA5183"/>
    <w:rsid w:val="00EA5601"/>
    <w:rsid w:val="00EA5714"/>
    <w:rsid w:val="00EA5885"/>
    <w:rsid w:val="00EA5D66"/>
    <w:rsid w:val="00EA5DA6"/>
    <w:rsid w:val="00EA5F4C"/>
    <w:rsid w:val="00EA6394"/>
    <w:rsid w:val="00EA697E"/>
    <w:rsid w:val="00EA69E2"/>
    <w:rsid w:val="00EA71C8"/>
    <w:rsid w:val="00EA774D"/>
    <w:rsid w:val="00EA7928"/>
    <w:rsid w:val="00EA79B9"/>
    <w:rsid w:val="00EA79D0"/>
    <w:rsid w:val="00EA7E80"/>
    <w:rsid w:val="00EB0077"/>
    <w:rsid w:val="00EB0814"/>
    <w:rsid w:val="00EB0EF6"/>
    <w:rsid w:val="00EB116B"/>
    <w:rsid w:val="00EB1403"/>
    <w:rsid w:val="00EB14B1"/>
    <w:rsid w:val="00EB14BA"/>
    <w:rsid w:val="00EB16FE"/>
    <w:rsid w:val="00EB1728"/>
    <w:rsid w:val="00EB1C3B"/>
    <w:rsid w:val="00EB2728"/>
    <w:rsid w:val="00EB2C3F"/>
    <w:rsid w:val="00EB3289"/>
    <w:rsid w:val="00EB34DA"/>
    <w:rsid w:val="00EB376A"/>
    <w:rsid w:val="00EB42D5"/>
    <w:rsid w:val="00EB4973"/>
    <w:rsid w:val="00EB5191"/>
    <w:rsid w:val="00EB56FA"/>
    <w:rsid w:val="00EB5762"/>
    <w:rsid w:val="00EB5F6E"/>
    <w:rsid w:val="00EB6499"/>
    <w:rsid w:val="00EB64C5"/>
    <w:rsid w:val="00EB66DB"/>
    <w:rsid w:val="00EB702B"/>
    <w:rsid w:val="00EB74D1"/>
    <w:rsid w:val="00EB7CDC"/>
    <w:rsid w:val="00EB7EA3"/>
    <w:rsid w:val="00EC00DA"/>
    <w:rsid w:val="00EC031A"/>
    <w:rsid w:val="00EC0542"/>
    <w:rsid w:val="00EC0703"/>
    <w:rsid w:val="00EC0E1C"/>
    <w:rsid w:val="00EC1495"/>
    <w:rsid w:val="00EC16B3"/>
    <w:rsid w:val="00EC187C"/>
    <w:rsid w:val="00EC268E"/>
    <w:rsid w:val="00EC29FC"/>
    <w:rsid w:val="00EC2DC1"/>
    <w:rsid w:val="00EC3195"/>
    <w:rsid w:val="00EC378D"/>
    <w:rsid w:val="00EC3A21"/>
    <w:rsid w:val="00EC3BC6"/>
    <w:rsid w:val="00EC4952"/>
    <w:rsid w:val="00EC49C9"/>
    <w:rsid w:val="00EC4C78"/>
    <w:rsid w:val="00EC4D59"/>
    <w:rsid w:val="00EC55DE"/>
    <w:rsid w:val="00EC6661"/>
    <w:rsid w:val="00EC6780"/>
    <w:rsid w:val="00EC6F7E"/>
    <w:rsid w:val="00EC707F"/>
    <w:rsid w:val="00EC79B0"/>
    <w:rsid w:val="00EC7A29"/>
    <w:rsid w:val="00ED01F0"/>
    <w:rsid w:val="00ED0AEE"/>
    <w:rsid w:val="00ED1338"/>
    <w:rsid w:val="00ED2315"/>
    <w:rsid w:val="00ED245B"/>
    <w:rsid w:val="00ED24C3"/>
    <w:rsid w:val="00ED2761"/>
    <w:rsid w:val="00ED2A2A"/>
    <w:rsid w:val="00ED2C28"/>
    <w:rsid w:val="00ED2D9B"/>
    <w:rsid w:val="00ED2DDA"/>
    <w:rsid w:val="00ED2F2D"/>
    <w:rsid w:val="00ED325F"/>
    <w:rsid w:val="00ED3DE5"/>
    <w:rsid w:val="00ED3F10"/>
    <w:rsid w:val="00ED41D1"/>
    <w:rsid w:val="00ED4B79"/>
    <w:rsid w:val="00ED50C5"/>
    <w:rsid w:val="00ED54A4"/>
    <w:rsid w:val="00ED56DF"/>
    <w:rsid w:val="00ED58B0"/>
    <w:rsid w:val="00ED5CB4"/>
    <w:rsid w:val="00ED65B9"/>
    <w:rsid w:val="00ED6EB5"/>
    <w:rsid w:val="00ED7172"/>
    <w:rsid w:val="00ED7388"/>
    <w:rsid w:val="00ED7516"/>
    <w:rsid w:val="00ED75EF"/>
    <w:rsid w:val="00ED7871"/>
    <w:rsid w:val="00EE0E5E"/>
    <w:rsid w:val="00EE1970"/>
    <w:rsid w:val="00EE1EA0"/>
    <w:rsid w:val="00EE2196"/>
    <w:rsid w:val="00EE21D3"/>
    <w:rsid w:val="00EE24DF"/>
    <w:rsid w:val="00EE277E"/>
    <w:rsid w:val="00EE3136"/>
    <w:rsid w:val="00EE41C0"/>
    <w:rsid w:val="00EE4259"/>
    <w:rsid w:val="00EE4D20"/>
    <w:rsid w:val="00EE4E92"/>
    <w:rsid w:val="00EE52B5"/>
    <w:rsid w:val="00EE565D"/>
    <w:rsid w:val="00EE5C07"/>
    <w:rsid w:val="00EE656D"/>
    <w:rsid w:val="00EE6643"/>
    <w:rsid w:val="00EE6EA4"/>
    <w:rsid w:val="00EE7627"/>
    <w:rsid w:val="00EE7E18"/>
    <w:rsid w:val="00EE7E64"/>
    <w:rsid w:val="00EF00E4"/>
    <w:rsid w:val="00EF026D"/>
    <w:rsid w:val="00EF03DE"/>
    <w:rsid w:val="00EF065C"/>
    <w:rsid w:val="00EF0A61"/>
    <w:rsid w:val="00EF0AE0"/>
    <w:rsid w:val="00EF0B0E"/>
    <w:rsid w:val="00EF0DF0"/>
    <w:rsid w:val="00EF1051"/>
    <w:rsid w:val="00EF15CA"/>
    <w:rsid w:val="00EF1CC9"/>
    <w:rsid w:val="00EF239A"/>
    <w:rsid w:val="00EF2F06"/>
    <w:rsid w:val="00EF39E3"/>
    <w:rsid w:val="00EF3CA9"/>
    <w:rsid w:val="00EF4B4F"/>
    <w:rsid w:val="00EF4C91"/>
    <w:rsid w:val="00EF53AF"/>
    <w:rsid w:val="00EF54DA"/>
    <w:rsid w:val="00EF57D9"/>
    <w:rsid w:val="00EF658A"/>
    <w:rsid w:val="00EF6717"/>
    <w:rsid w:val="00EF6808"/>
    <w:rsid w:val="00EF7175"/>
    <w:rsid w:val="00EF7D7E"/>
    <w:rsid w:val="00F002DE"/>
    <w:rsid w:val="00F0072D"/>
    <w:rsid w:val="00F0084B"/>
    <w:rsid w:val="00F00C34"/>
    <w:rsid w:val="00F0174E"/>
    <w:rsid w:val="00F01816"/>
    <w:rsid w:val="00F01ED0"/>
    <w:rsid w:val="00F02782"/>
    <w:rsid w:val="00F02BAF"/>
    <w:rsid w:val="00F0305C"/>
    <w:rsid w:val="00F03311"/>
    <w:rsid w:val="00F03A1B"/>
    <w:rsid w:val="00F03DE1"/>
    <w:rsid w:val="00F042C8"/>
    <w:rsid w:val="00F04A39"/>
    <w:rsid w:val="00F0557E"/>
    <w:rsid w:val="00F06637"/>
    <w:rsid w:val="00F076FD"/>
    <w:rsid w:val="00F0786B"/>
    <w:rsid w:val="00F0792D"/>
    <w:rsid w:val="00F07F14"/>
    <w:rsid w:val="00F07F1A"/>
    <w:rsid w:val="00F10693"/>
    <w:rsid w:val="00F10DF9"/>
    <w:rsid w:val="00F10EEF"/>
    <w:rsid w:val="00F116D9"/>
    <w:rsid w:val="00F119B2"/>
    <w:rsid w:val="00F11FE8"/>
    <w:rsid w:val="00F12046"/>
    <w:rsid w:val="00F121E0"/>
    <w:rsid w:val="00F122A7"/>
    <w:rsid w:val="00F12E48"/>
    <w:rsid w:val="00F12FCD"/>
    <w:rsid w:val="00F138E5"/>
    <w:rsid w:val="00F13961"/>
    <w:rsid w:val="00F13BCD"/>
    <w:rsid w:val="00F13EE1"/>
    <w:rsid w:val="00F143CE"/>
    <w:rsid w:val="00F1454D"/>
    <w:rsid w:val="00F15334"/>
    <w:rsid w:val="00F15424"/>
    <w:rsid w:val="00F15492"/>
    <w:rsid w:val="00F16252"/>
    <w:rsid w:val="00F16F94"/>
    <w:rsid w:val="00F17729"/>
    <w:rsid w:val="00F17C3F"/>
    <w:rsid w:val="00F17C72"/>
    <w:rsid w:val="00F20D18"/>
    <w:rsid w:val="00F22236"/>
    <w:rsid w:val="00F22B86"/>
    <w:rsid w:val="00F231D9"/>
    <w:rsid w:val="00F231E5"/>
    <w:rsid w:val="00F2385F"/>
    <w:rsid w:val="00F23AA2"/>
    <w:rsid w:val="00F23CFB"/>
    <w:rsid w:val="00F23E05"/>
    <w:rsid w:val="00F24F2B"/>
    <w:rsid w:val="00F256FB"/>
    <w:rsid w:val="00F259AE"/>
    <w:rsid w:val="00F25F90"/>
    <w:rsid w:val="00F26354"/>
    <w:rsid w:val="00F2640C"/>
    <w:rsid w:val="00F26717"/>
    <w:rsid w:val="00F270BA"/>
    <w:rsid w:val="00F27605"/>
    <w:rsid w:val="00F27617"/>
    <w:rsid w:val="00F278E7"/>
    <w:rsid w:val="00F27B82"/>
    <w:rsid w:val="00F27E93"/>
    <w:rsid w:val="00F27FAB"/>
    <w:rsid w:val="00F3027A"/>
    <w:rsid w:val="00F30312"/>
    <w:rsid w:val="00F3067C"/>
    <w:rsid w:val="00F308F8"/>
    <w:rsid w:val="00F3096A"/>
    <w:rsid w:val="00F31413"/>
    <w:rsid w:val="00F31444"/>
    <w:rsid w:val="00F31476"/>
    <w:rsid w:val="00F31E72"/>
    <w:rsid w:val="00F32A86"/>
    <w:rsid w:val="00F33139"/>
    <w:rsid w:val="00F3321B"/>
    <w:rsid w:val="00F33A9C"/>
    <w:rsid w:val="00F33B73"/>
    <w:rsid w:val="00F33C1C"/>
    <w:rsid w:val="00F33D1E"/>
    <w:rsid w:val="00F33D9E"/>
    <w:rsid w:val="00F34841"/>
    <w:rsid w:val="00F3549B"/>
    <w:rsid w:val="00F356B8"/>
    <w:rsid w:val="00F361E7"/>
    <w:rsid w:val="00F367ED"/>
    <w:rsid w:val="00F37022"/>
    <w:rsid w:val="00F37A66"/>
    <w:rsid w:val="00F37CC5"/>
    <w:rsid w:val="00F408F3"/>
    <w:rsid w:val="00F40D4C"/>
    <w:rsid w:val="00F40DC2"/>
    <w:rsid w:val="00F41A13"/>
    <w:rsid w:val="00F41EB2"/>
    <w:rsid w:val="00F42441"/>
    <w:rsid w:val="00F42895"/>
    <w:rsid w:val="00F42F70"/>
    <w:rsid w:val="00F4355F"/>
    <w:rsid w:val="00F4484A"/>
    <w:rsid w:val="00F44D50"/>
    <w:rsid w:val="00F458C7"/>
    <w:rsid w:val="00F45FD0"/>
    <w:rsid w:val="00F46321"/>
    <w:rsid w:val="00F4643E"/>
    <w:rsid w:val="00F47030"/>
    <w:rsid w:val="00F474A3"/>
    <w:rsid w:val="00F47607"/>
    <w:rsid w:val="00F47E9A"/>
    <w:rsid w:val="00F50142"/>
    <w:rsid w:val="00F51621"/>
    <w:rsid w:val="00F52A50"/>
    <w:rsid w:val="00F52A98"/>
    <w:rsid w:val="00F53162"/>
    <w:rsid w:val="00F53C4D"/>
    <w:rsid w:val="00F53E34"/>
    <w:rsid w:val="00F540A0"/>
    <w:rsid w:val="00F54190"/>
    <w:rsid w:val="00F5433C"/>
    <w:rsid w:val="00F5442C"/>
    <w:rsid w:val="00F54854"/>
    <w:rsid w:val="00F55279"/>
    <w:rsid w:val="00F55B6B"/>
    <w:rsid w:val="00F56E05"/>
    <w:rsid w:val="00F57247"/>
    <w:rsid w:val="00F57678"/>
    <w:rsid w:val="00F60181"/>
    <w:rsid w:val="00F60678"/>
    <w:rsid w:val="00F60D63"/>
    <w:rsid w:val="00F616DD"/>
    <w:rsid w:val="00F617E1"/>
    <w:rsid w:val="00F61C1A"/>
    <w:rsid w:val="00F61C85"/>
    <w:rsid w:val="00F62B04"/>
    <w:rsid w:val="00F62C57"/>
    <w:rsid w:val="00F631AE"/>
    <w:rsid w:val="00F63404"/>
    <w:rsid w:val="00F63530"/>
    <w:rsid w:val="00F63FEC"/>
    <w:rsid w:val="00F64203"/>
    <w:rsid w:val="00F64AA2"/>
    <w:rsid w:val="00F6525D"/>
    <w:rsid w:val="00F6527E"/>
    <w:rsid w:val="00F65AFC"/>
    <w:rsid w:val="00F65C84"/>
    <w:rsid w:val="00F667C9"/>
    <w:rsid w:val="00F6681F"/>
    <w:rsid w:val="00F66F53"/>
    <w:rsid w:val="00F67C2A"/>
    <w:rsid w:val="00F67F26"/>
    <w:rsid w:val="00F67F49"/>
    <w:rsid w:val="00F702F9"/>
    <w:rsid w:val="00F703A1"/>
    <w:rsid w:val="00F704D7"/>
    <w:rsid w:val="00F704DE"/>
    <w:rsid w:val="00F70644"/>
    <w:rsid w:val="00F70E52"/>
    <w:rsid w:val="00F71595"/>
    <w:rsid w:val="00F71688"/>
    <w:rsid w:val="00F71B2E"/>
    <w:rsid w:val="00F71CF4"/>
    <w:rsid w:val="00F72038"/>
    <w:rsid w:val="00F7223B"/>
    <w:rsid w:val="00F72C66"/>
    <w:rsid w:val="00F72C76"/>
    <w:rsid w:val="00F73470"/>
    <w:rsid w:val="00F738A9"/>
    <w:rsid w:val="00F74438"/>
    <w:rsid w:val="00F74EA4"/>
    <w:rsid w:val="00F75C5F"/>
    <w:rsid w:val="00F75F01"/>
    <w:rsid w:val="00F7618E"/>
    <w:rsid w:val="00F76629"/>
    <w:rsid w:val="00F776AA"/>
    <w:rsid w:val="00F77D8F"/>
    <w:rsid w:val="00F80EE9"/>
    <w:rsid w:val="00F80F21"/>
    <w:rsid w:val="00F810B1"/>
    <w:rsid w:val="00F81340"/>
    <w:rsid w:val="00F813D0"/>
    <w:rsid w:val="00F81B2C"/>
    <w:rsid w:val="00F82143"/>
    <w:rsid w:val="00F822A9"/>
    <w:rsid w:val="00F825E0"/>
    <w:rsid w:val="00F82868"/>
    <w:rsid w:val="00F828D7"/>
    <w:rsid w:val="00F82B3E"/>
    <w:rsid w:val="00F83142"/>
    <w:rsid w:val="00F83350"/>
    <w:rsid w:val="00F83987"/>
    <w:rsid w:val="00F8425D"/>
    <w:rsid w:val="00F8541E"/>
    <w:rsid w:val="00F8571B"/>
    <w:rsid w:val="00F866C1"/>
    <w:rsid w:val="00F8678B"/>
    <w:rsid w:val="00F86DDF"/>
    <w:rsid w:val="00F86FDD"/>
    <w:rsid w:val="00F8737E"/>
    <w:rsid w:val="00F87AB0"/>
    <w:rsid w:val="00F87ACA"/>
    <w:rsid w:val="00F902AF"/>
    <w:rsid w:val="00F906AD"/>
    <w:rsid w:val="00F915B9"/>
    <w:rsid w:val="00F9204E"/>
    <w:rsid w:val="00F920E2"/>
    <w:rsid w:val="00F92560"/>
    <w:rsid w:val="00F926A9"/>
    <w:rsid w:val="00F928CE"/>
    <w:rsid w:val="00F92D77"/>
    <w:rsid w:val="00F930C2"/>
    <w:rsid w:val="00F94804"/>
    <w:rsid w:val="00F94BBF"/>
    <w:rsid w:val="00F95CA2"/>
    <w:rsid w:val="00F95FB2"/>
    <w:rsid w:val="00F96581"/>
    <w:rsid w:val="00F96771"/>
    <w:rsid w:val="00F96C9E"/>
    <w:rsid w:val="00F96D5E"/>
    <w:rsid w:val="00F973E2"/>
    <w:rsid w:val="00F97493"/>
    <w:rsid w:val="00F97768"/>
    <w:rsid w:val="00F97DCE"/>
    <w:rsid w:val="00FA067A"/>
    <w:rsid w:val="00FA0BBE"/>
    <w:rsid w:val="00FA1925"/>
    <w:rsid w:val="00FA1BB0"/>
    <w:rsid w:val="00FA1CCA"/>
    <w:rsid w:val="00FA1E8C"/>
    <w:rsid w:val="00FA31A6"/>
    <w:rsid w:val="00FA32FD"/>
    <w:rsid w:val="00FA34FB"/>
    <w:rsid w:val="00FA3A03"/>
    <w:rsid w:val="00FA3D4D"/>
    <w:rsid w:val="00FA45E8"/>
    <w:rsid w:val="00FA4769"/>
    <w:rsid w:val="00FA5420"/>
    <w:rsid w:val="00FA601B"/>
    <w:rsid w:val="00FA6380"/>
    <w:rsid w:val="00FA6860"/>
    <w:rsid w:val="00FA6CA4"/>
    <w:rsid w:val="00FA70FA"/>
    <w:rsid w:val="00FA72EE"/>
    <w:rsid w:val="00FA7D8C"/>
    <w:rsid w:val="00FB0079"/>
    <w:rsid w:val="00FB0527"/>
    <w:rsid w:val="00FB0935"/>
    <w:rsid w:val="00FB093B"/>
    <w:rsid w:val="00FB1ABD"/>
    <w:rsid w:val="00FB1FAF"/>
    <w:rsid w:val="00FB2F3A"/>
    <w:rsid w:val="00FB35A7"/>
    <w:rsid w:val="00FB3745"/>
    <w:rsid w:val="00FB3803"/>
    <w:rsid w:val="00FB4B5D"/>
    <w:rsid w:val="00FB4D79"/>
    <w:rsid w:val="00FB51E5"/>
    <w:rsid w:val="00FB6755"/>
    <w:rsid w:val="00FB67D7"/>
    <w:rsid w:val="00FB6B28"/>
    <w:rsid w:val="00FB7A52"/>
    <w:rsid w:val="00FB7B25"/>
    <w:rsid w:val="00FC0A7A"/>
    <w:rsid w:val="00FC1148"/>
    <w:rsid w:val="00FC1222"/>
    <w:rsid w:val="00FC12BC"/>
    <w:rsid w:val="00FC19B9"/>
    <w:rsid w:val="00FC1A12"/>
    <w:rsid w:val="00FC1BCC"/>
    <w:rsid w:val="00FC1EDE"/>
    <w:rsid w:val="00FC25D3"/>
    <w:rsid w:val="00FC2676"/>
    <w:rsid w:val="00FC2D6C"/>
    <w:rsid w:val="00FC2F19"/>
    <w:rsid w:val="00FC3676"/>
    <w:rsid w:val="00FC383E"/>
    <w:rsid w:val="00FC4368"/>
    <w:rsid w:val="00FC4587"/>
    <w:rsid w:val="00FC4D15"/>
    <w:rsid w:val="00FC4F54"/>
    <w:rsid w:val="00FC59D8"/>
    <w:rsid w:val="00FC5B31"/>
    <w:rsid w:val="00FC5B8A"/>
    <w:rsid w:val="00FC5E21"/>
    <w:rsid w:val="00FC61EE"/>
    <w:rsid w:val="00FC64D5"/>
    <w:rsid w:val="00FC64E9"/>
    <w:rsid w:val="00FC656F"/>
    <w:rsid w:val="00FC6CEE"/>
    <w:rsid w:val="00FC7058"/>
    <w:rsid w:val="00FC77E7"/>
    <w:rsid w:val="00FC7D3C"/>
    <w:rsid w:val="00FD04A5"/>
    <w:rsid w:val="00FD0A0F"/>
    <w:rsid w:val="00FD0B7C"/>
    <w:rsid w:val="00FD15E9"/>
    <w:rsid w:val="00FD21B4"/>
    <w:rsid w:val="00FD26CA"/>
    <w:rsid w:val="00FD2CE4"/>
    <w:rsid w:val="00FD3296"/>
    <w:rsid w:val="00FD32A8"/>
    <w:rsid w:val="00FD37D4"/>
    <w:rsid w:val="00FD3D2A"/>
    <w:rsid w:val="00FD3E7F"/>
    <w:rsid w:val="00FD494A"/>
    <w:rsid w:val="00FD511A"/>
    <w:rsid w:val="00FD538E"/>
    <w:rsid w:val="00FD53E1"/>
    <w:rsid w:val="00FD56FA"/>
    <w:rsid w:val="00FD5CFF"/>
    <w:rsid w:val="00FD6E49"/>
    <w:rsid w:val="00FD76D7"/>
    <w:rsid w:val="00FD7BBA"/>
    <w:rsid w:val="00FD7CE7"/>
    <w:rsid w:val="00FE0114"/>
    <w:rsid w:val="00FE08FE"/>
    <w:rsid w:val="00FE10EF"/>
    <w:rsid w:val="00FE1389"/>
    <w:rsid w:val="00FE15E9"/>
    <w:rsid w:val="00FE21BE"/>
    <w:rsid w:val="00FE280E"/>
    <w:rsid w:val="00FE2B99"/>
    <w:rsid w:val="00FE3EF9"/>
    <w:rsid w:val="00FE46E5"/>
    <w:rsid w:val="00FE48BD"/>
    <w:rsid w:val="00FE4A13"/>
    <w:rsid w:val="00FE4ADC"/>
    <w:rsid w:val="00FE50E6"/>
    <w:rsid w:val="00FE527D"/>
    <w:rsid w:val="00FE5612"/>
    <w:rsid w:val="00FE59F6"/>
    <w:rsid w:val="00FE674F"/>
    <w:rsid w:val="00FE6DE3"/>
    <w:rsid w:val="00FE6E19"/>
    <w:rsid w:val="00FE7266"/>
    <w:rsid w:val="00FE7625"/>
    <w:rsid w:val="00FE762E"/>
    <w:rsid w:val="00FE7A1C"/>
    <w:rsid w:val="00FE7B36"/>
    <w:rsid w:val="00FF069C"/>
    <w:rsid w:val="00FF1686"/>
    <w:rsid w:val="00FF19D6"/>
    <w:rsid w:val="00FF2A8E"/>
    <w:rsid w:val="00FF2AC3"/>
    <w:rsid w:val="00FF338D"/>
    <w:rsid w:val="00FF3973"/>
    <w:rsid w:val="00FF5873"/>
    <w:rsid w:val="00FF5FBE"/>
    <w:rsid w:val="00FF6015"/>
    <w:rsid w:val="00FF648C"/>
    <w:rsid w:val="00FF714E"/>
    <w:rsid w:val="00FF78FD"/>
    <w:rsid w:val="00FF7974"/>
    <w:rsid w:val="00FF79FD"/>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5DE9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able of figures" w:locked="1" w:uiPriority="99"/>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18350E"/>
    <w:pPr>
      <w:spacing w:before="200" w:after="200" w:line="276" w:lineRule="auto"/>
      <w:jc w:val="both"/>
    </w:pPr>
    <w:rPr>
      <w:rFonts w:eastAsia="Times New Roman"/>
      <w:sz w:val="22"/>
      <w:szCs w:val="22"/>
    </w:rPr>
  </w:style>
  <w:style w:type="paragraph" w:styleId="Heading1">
    <w:name w:val="heading 1"/>
    <w:basedOn w:val="Normal"/>
    <w:next w:val="Normal"/>
    <w:link w:val="Heading1Char1"/>
    <w:qFormat/>
    <w:rsid w:val="006357A1"/>
    <w:pPr>
      <w:numPr>
        <w:numId w:val="1"/>
      </w:numPr>
      <w:shd w:val="clear" w:color="auto" w:fill="4F81BD"/>
      <w:spacing w:after="0"/>
      <w:outlineLvl w:val="0"/>
    </w:pPr>
    <w:rPr>
      <w:rFonts w:cs="Times New Roman"/>
      <w:b/>
      <w:bCs/>
      <w:caps/>
      <w:color w:val="FFFFFF"/>
      <w:spacing w:val="15"/>
      <w:sz w:val="20"/>
      <w:szCs w:val="20"/>
      <w:lang w:eastAsia="ko-KR"/>
    </w:rPr>
  </w:style>
  <w:style w:type="paragraph" w:styleId="Heading2">
    <w:name w:val="heading 2"/>
    <w:aliases w:val="Header 2"/>
    <w:basedOn w:val="Normal"/>
    <w:next w:val="Normal"/>
    <w:link w:val="Heading2Char"/>
    <w:uiPriority w:val="9"/>
    <w:qFormat/>
    <w:rsid w:val="006357A1"/>
    <w:pPr>
      <w:numPr>
        <w:ilvl w:val="1"/>
        <w:numId w:val="1"/>
      </w:numPr>
      <w:pBdr>
        <w:top w:val="single" w:sz="24" w:space="0" w:color="C6D9F1"/>
        <w:left w:val="single" w:sz="24" w:space="0" w:color="C6D9F1"/>
        <w:bottom w:val="single" w:sz="24" w:space="0" w:color="C6D9F1"/>
        <w:right w:val="single" w:sz="24" w:space="0" w:color="C6D9F1"/>
      </w:pBdr>
      <w:shd w:val="clear" w:color="auto" w:fill="C6D9F1"/>
      <w:spacing w:after="0"/>
      <w:outlineLvl w:val="1"/>
    </w:pPr>
    <w:rPr>
      <w:rFonts w:cs="Times New Roman"/>
      <w:b/>
      <w:caps/>
      <w:spacing w:val="15"/>
      <w:sz w:val="20"/>
      <w:szCs w:val="20"/>
      <w:lang w:eastAsia="ko-KR"/>
    </w:rPr>
  </w:style>
  <w:style w:type="paragraph" w:styleId="Heading3">
    <w:name w:val="heading 3"/>
    <w:basedOn w:val="Normal"/>
    <w:next w:val="Normal"/>
    <w:link w:val="Heading3Char"/>
    <w:autoRedefine/>
    <w:qFormat/>
    <w:rsid w:val="00D22154"/>
    <w:pPr>
      <w:numPr>
        <w:ilvl w:val="2"/>
        <w:numId w:val="1"/>
      </w:numPr>
      <w:pBdr>
        <w:top w:val="single" w:sz="6" w:space="2" w:color="4F6228"/>
        <w:left w:val="single" w:sz="6" w:space="2" w:color="4F6228"/>
      </w:pBdr>
      <w:spacing w:before="0" w:after="0" w:line="240" w:lineRule="auto"/>
      <w:outlineLvl w:val="2"/>
    </w:pPr>
    <w:rPr>
      <w:rFonts w:cs="Times New Roman"/>
      <w:b/>
      <w:caps/>
      <w:color w:val="76923C"/>
      <w:spacing w:val="15"/>
      <w:sz w:val="20"/>
      <w:szCs w:val="20"/>
      <w:lang w:eastAsia="ko-KR"/>
    </w:rPr>
  </w:style>
  <w:style w:type="paragraph" w:styleId="Heading4">
    <w:name w:val="heading 4"/>
    <w:basedOn w:val="Normal"/>
    <w:next w:val="Normal"/>
    <w:link w:val="Heading4Char"/>
    <w:qFormat/>
    <w:rsid w:val="006357A1"/>
    <w:pPr>
      <w:numPr>
        <w:ilvl w:val="3"/>
        <w:numId w:val="1"/>
      </w:numPr>
      <w:pBdr>
        <w:top w:val="dotted" w:sz="6" w:space="2" w:color="4F81BD"/>
        <w:left w:val="dotted" w:sz="6" w:space="2" w:color="4F81BD"/>
      </w:pBdr>
      <w:spacing w:before="300" w:after="0"/>
      <w:outlineLvl w:val="3"/>
    </w:pPr>
    <w:rPr>
      <w:rFonts w:cs="Times New Roman"/>
      <w:b/>
      <w:caps/>
      <w:color w:val="365F91"/>
      <w:spacing w:val="10"/>
      <w:sz w:val="20"/>
      <w:szCs w:val="20"/>
      <w:lang w:eastAsia="ko-KR"/>
    </w:rPr>
  </w:style>
  <w:style w:type="paragraph" w:styleId="Heading5">
    <w:name w:val="heading 5"/>
    <w:basedOn w:val="Normal"/>
    <w:next w:val="Normal"/>
    <w:link w:val="Heading5Char"/>
    <w:qFormat/>
    <w:rsid w:val="006357A1"/>
    <w:pPr>
      <w:numPr>
        <w:ilvl w:val="4"/>
        <w:numId w:val="1"/>
      </w:numPr>
      <w:pBdr>
        <w:bottom w:val="single" w:sz="6" w:space="1" w:color="4F81BD"/>
      </w:pBdr>
      <w:spacing w:before="300" w:after="0"/>
      <w:outlineLvl w:val="4"/>
    </w:pPr>
    <w:rPr>
      <w:rFonts w:cs="Times New Roman"/>
      <w:caps/>
      <w:color w:val="365F91"/>
      <w:spacing w:val="10"/>
      <w:sz w:val="20"/>
      <w:szCs w:val="20"/>
      <w:lang w:eastAsia="ko-KR"/>
    </w:rPr>
  </w:style>
  <w:style w:type="paragraph" w:styleId="Heading6">
    <w:name w:val="heading 6"/>
    <w:basedOn w:val="Normal"/>
    <w:next w:val="Normal"/>
    <w:link w:val="Heading6Char"/>
    <w:qFormat/>
    <w:rsid w:val="006357A1"/>
    <w:pPr>
      <w:numPr>
        <w:ilvl w:val="5"/>
        <w:numId w:val="1"/>
      </w:numPr>
      <w:pBdr>
        <w:bottom w:val="dotted" w:sz="6" w:space="1" w:color="4F81BD"/>
      </w:pBdr>
      <w:spacing w:before="300" w:after="0"/>
      <w:outlineLvl w:val="5"/>
    </w:pPr>
    <w:rPr>
      <w:rFonts w:cs="Times New Roman"/>
      <w:caps/>
      <w:color w:val="365F91"/>
      <w:spacing w:val="10"/>
      <w:sz w:val="20"/>
      <w:szCs w:val="20"/>
      <w:lang w:eastAsia="ko-KR"/>
    </w:rPr>
  </w:style>
  <w:style w:type="paragraph" w:styleId="Heading7">
    <w:name w:val="heading 7"/>
    <w:aliases w:val="Table Text style"/>
    <w:basedOn w:val="Normal"/>
    <w:next w:val="Normal"/>
    <w:link w:val="Heading7Char"/>
    <w:qFormat/>
    <w:rsid w:val="006357A1"/>
    <w:pPr>
      <w:numPr>
        <w:ilvl w:val="6"/>
        <w:numId w:val="1"/>
      </w:numPr>
      <w:spacing w:before="300" w:after="0"/>
      <w:outlineLvl w:val="6"/>
    </w:pPr>
    <w:rPr>
      <w:rFonts w:cs="Times New Roman"/>
      <w:caps/>
      <w:color w:val="365F91"/>
      <w:spacing w:val="10"/>
      <w:sz w:val="20"/>
      <w:szCs w:val="20"/>
      <w:lang w:eastAsia="ko-KR"/>
    </w:rPr>
  </w:style>
  <w:style w:type="paragraph" w:styleId="Heading8">
    <w:name w:val="heading 8"/>
    <w:basedOn w:val="Normal"/>
    <w:next w:val="Normal"/>
    <w:link w:val="Heading8Char"/>
    <w:qFormat/>
    <w:rsid w:val="006357A1"/>
    <w:pPr>
      <w:numPr>
        <w:ilvl w:val="7"/>
        <w:numId w:val="1"/>
      </w:numPr>
      <w:spacing w:before="300" w:after="0"/>
      <w:outlineLvl w:val="7"/>
    </w:pPr>
    <w:rPr>
      <w:rFonts w:cs="Times New Roman"/>
      <w:caps/>
      <w:spacing w:val="10"/>
      <w:sz w:val="18"/>
      <w:szCs w:val="18"/>
      <w:lang w:eastAsia="ko-KR"/>
    </w:rPr>
  </w:style>
  <w:style w:type="paragraph" w:styleId="Heading9">
    <w:name w:val="heading 9"/>
    <w:basedOn w:val="Normal"/>
    <w:next w:val="Normal"/>
    <w:link w:val="Heading9Char"/>
    <w:qFormat/>
    <w:rsid w:val="006357A1"/>
    <w:pPr>
      <w:numPr>
        <w:ilvl w:val="8"/>
        <w:numId w:val="1"/>
      </w:numPr>
      <w:spacing w:before="300" w:after="0"/>
      <w:outlineLvl w:val="8"/>
    </w:pPr>
    <w:rPr>
      <w:rFonts w:cs="Times New Roman"/>
      <w:i/>
      <w:iCs/>
      <w:caps/>
      <w:spacing w:val="10"/>
      <w:sz w:val="18"/>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C15FFF"/>
    <w:rPr>
      <w:b/>
      <w:caps/>
      <w:color w:val="FFFFFF"/>
      <w:spacing w:val="15"/>
      <w:shd w:val="clear" w:color="auto" w:fill="4F81BD"/>
    </w:rPr>
  </w:style>
  <w:style w:type="character" w:customStyle="1" w:styleId="Heading2Char">
    <w:name w:val="Heading 2 Char"/>
    <w:aliases w:val="Header 2 Char"/>
    <w:link w:val="Heading2"/>
    <w:uiPriority w:val="9"/>
    <w:locked/>
    <w:rsid w:val="006357A1"/>
    <w:rPr>
      <w:rFonts w:eastAsia="Times New Roman" w:cs="Times New Roman"/>
      <w:b/>
      <w:caps/>
      <w:spacing w:val="15"/>
      <w:shd w:val="clear" w:color="auto" w:fill="C6D9F1"/>
      <w:lang w:eastAsia="ko-KR"/>
    </w:rPr>
  </w:style>
  <w:style w:type="character" w:customStyle="1" w:styleId="Heading3Char">
    <w:name w:val="Heading 3 Char"/>
    <w:link w:val="Heading3"/>
    <w:locked/>
    <w:rsid w:val="00D22154"/>
    <w:rPr>
      <w:rFonts w:eastAsia="Times New Roman" w:cs="Times New Roman"/>
      <w:b/>
      <w:caps/>
      <w:color w:val="76923C"/>
      <w:spacing w:val="15"/>
      <w:lang w:eastAsia="ko-KR"/>
    </w:rPr>
  </w:style>
  <w:style w:type="character" w:customStyle="1" w:styleId="Heading4Char">
    <w:name w:val="Heading 4 Char"/>
    <w:link w:val="Heading4"/>
    <w:locked/>
    <w:rsid w:val="006357A1"/>
    <w:rPr>
      <w:rFonts w:eastAsia="Times New Roman" w:cs="Times New Roman"/>
      <w:b/>
      <w:caps/>
      <w:color w:val="365F91"/>
      <w:spacing w:val="10"/>
      <w:lang w:eastAsia="ko-KR"/>
    </w:rPr>
  </w:style>
  <w:style w:type="paragraph" w:customStyle="1" w:styleId="LightShading-Accent21">
    <w:name w:val="Light Shading - Accent 21"/>
    <w:basedOn w:val="Normal"/>
    <w:next w:val="Normal"/>
    <w:link w:val="LightShading-Accent2Char"/>
    <w:qFormat/>
    <w:rsid w:val="0018350E"/>
    <w:pPr>
      <w:pBdr>
        <w:top w:val="single" w:sz="4" w:space="10" w:color="4F81BD"/>
        <w:left w:val="single" w:sz="4" w:space="10" w:color="4F81BD"/>
      </w:pBdr>
      <w:spacing w:after="0"/>
      <w:ind w:left="1296" w:right="1152"/>
    </w:pPr>
    <w:rPr>
      <w:rFonts w:cs="Times New Roman"/>
      <w:i/>
      <w:iCs/>
      <w:color w:val="4F81BD"/>
      <w:sz w:val="20"/>
      <w:szCs w:val="20"/>
      <w:lang w:eastAsia="ko-KR"/>
    </w:rPr>
  </w:style>
  <w:style w:type="character" w:customStyle="1" w:styleId="LightShading-Accent2Char">
    <w:name w:val="Light Shading - Accent 2 Char"/>
    <w:link w:val="LightShading-Accent21"/>
    <w:locked/>
    <w:rsid w:val="0018350E"/>
    <w:rPr>
      <w:i/>
      <w:color w:val="4F81BD"/>
      <w:sz w:val="20"/>
    </w:rPr>
  </w:style>
  <w:style w:type="paragraph" w:styleId="BalloonText">
    <w:name w:val="Balloon Text"/>
    <w:basedOn w:val="Normal"/>
    <w:link w:val="BalloonTextChar"/>
    <w:semiHidden/>
    <w:rsid w:val="00603E6B"/>
    <w:pPr>
      <w:spacing w:before="0" w:after="0" w:line="240" w:lineRule="auto"/>
    </w:pPr>
    <w:rPr>
      <w:rFonts w:ascii="Tahoma" w:hAnsi="Tahoma" w:cs="Times New Roman"/>
      <w:sz w:val="16"/>
      <w:szCs w:val="16"/>
      <w:lang w:eastAsia="ko-KR"/>
    </w:rPr>
  </w:style>
  <w:style w:type="character" w:customStyle="1" w:styleId="BalloonTextChar">
    <w:name w:val="Balloon Text Char"/>
    <w:link w:val="BalloonText"/>
    <w:semiHidden/>
    <w:locked/>
    <w:rsid w:val="00603E6B"/>
    <w:rPr>
      <w:rFonts w:ascii="Tahoma" w:hAnsi="Tahoma"/>
      <w:sz w:val="16"/>
    </w:rPr>
  </w:style>
  <w:style w:type="character" w:styleId="Hyperlink">
    <w:name w:val="Hyperlink"/>
    <w:rsid w:val="00603E6B"/>
    <w:rPr>
      <w:color w:val="0000FF"/>
      <w:u w:val="single"/>
    </w:rPr>
  </w:style>
  <w:style w:type="character" w:customStyle="1" w:styleId="Heading1Char1">
    <w:name w:val="Heading 1 Char1"/>
    <w:link w:val="Heading1"/>
    <w:locked/>
    <w:rsid w:val="006357A1"/>
    <w:rPr>
      <w:rFonts w:eastAsia="Times New Roman" w:cs="Times New Roman"/>
      <w:b/>
      <w:bCs/>
      <w:caps/>
      <w:color w:val="FFFFFF"/>
      <w:spacing w:val="15"/>
      <w:shd w:val="clear" w:color="auto" w:fill="4F81BD"/>
      <w:lang w:eastAsia="ko-KR"/>
    </w:rPr>
  </w:style>
  <w:style w:type="character" w:customStyle="1" w:styleId="Heading5Char">
    <w:name w:val="Heading 5 Char"/>
    <w:link w:val="Heading5"/>
    <w:locked/>
    <w:rsid w:val="006357A1"/>
    <w:rPr>
      <w:rFonts w:eastAsia="Times New Roman" w:cs="Times New Roman"/>
      <w:caps/>
      <w:color w:val="365F91"/>
      <w:spacing w:val="10"/>
      <w:lang w:eastAsia="ko-KR"/>
    </w:rPr>
  </w:style>
  <w:style w:type="character" w:customStyle="1" w:styleId="Heading6Char">
    <w:name w:val="Heading 6 Char"/>
    <w:link w:val="Heading6"/>
    <w:locked/>
    <w:rsid w:val="006357A1"/>
    <w:rPr>
      <w:rFonts w:eastAsia="Times New Roman" w:cs="Times New Roman"/>
      <w:caps/>
      <w:color w:val="365F91"/>
      <w:spacing w:val="10"/>
      <w:lang w:eastAsia="ko-KR"/>
    </w:rPr>
  </w:style>
  <w:style w:type="character" w:customStyle="1" w:styleId="Heading7Char">
    <w:name w:val="Heading 7 Char"/>
    <w:aliases w:val="Table Text style Char"/>
    <w:link w:val="Heading7"/>
    <w:locked/>
    <w:rsid w:val="006357A1"/>
    <w:rPr>
      <w:rFonts w:eastAsia="Times New Roman" w:cs="Times New Roman"/>
      <w:caps/>
      <w:color w:val="365F91"/>
      <w:spacing w:val="10"/>
      <w:lang w:eastAsia="ko-KR"/>
    </w:rPr>
  </w:style>
  <w:style w:type="character" w:customStyle="1" w:styleId="Heading8Char">
    <w:name w:val="Heading 8 Char"/>
    <w:link w:val="Heading8"/>
    <w:locked/>
    <w:rsid w:val="006357A1"/>
    <w:rPr>
      <w:rFonts w:eastAsia="Times New Roman" w:cs="Times New Roman"/>
      <w:caps/>
      <w:spacing w:val="10"/>
      <w:sz w:val="18"/>
      <w:szCs w:val="18"/>
      <w:lang w:eastAsia="ko-KR"/>
    </w:rPr>
  </w:style>
  <w:style w:type="character" w:customStyle="1" w:styleId="Heading9Char">
    <w:name w:val="Heading 9 Char"/>
    <w:link w:val="Heading9"/>
    <w:locked/>
    <w:rsid w:val="006357A1"/>
    <w:rPr>
      <w:rFonts w:eastAsia="Times New Roman" w:cs="Times New Roman"/>
      <w:i/>
      <w:iCs/>
      <w:caps/>
      <w:spacing w:val="10"/>
      <w:sz w:val="18"/>
      <w:szCs w:val="18"/>
      <w:lang w:eastAsia="ko-KR"/>
    </w:rPr>
  </w:style>
  <w:style w:type="paragraph" w:styleId="TOC1">
    <w:name w:val="toc 1"/>
    <w:basedOn w:val="Normal"/>
    <w:next w:val="Normal"/>
    <w:link w:val="TOC1Char"/>
    <w:autoRedefine/>
    <w:uiPriority w:val="39"/>
    <w:rsid w:val="00A23176"/>
    <w:pPr>
      <w:tabs>
        <w:tab w:val="left" w:pos="440"/>
        <w:tab w:val="right" w:leader="dot" w:pos="9016"/>
      </w:tabs>
      <w:spacing w:before="120" w:after="120"/>
      <w:jc w:val="left"/>
    </w:pPr>
    <w:rPr>
      <w:rFonts w:cs="Times New Roman"/>
      <w:b/>
      <w:bCs/>
      <w:caps/>
      <w:noProof/>
      <w:sz w:val="20"/>
      <w:szCs w:val="20"/>
      <w:lang w:val="en-ZA" w:eastAsia="ko-KR"/>
    </w:rPr>
  </w:style>
  <w:style w:type="character" w:customStyle="1" w:styleId="TOC1Char">
    <w:name w:val="TOC 1 Char"/>
    <w:link w:val="TOC1"/>
    <w:locked/>
    <w:rsid w:val="00A23176"/>
    <w:rPr>
      <w:b/>
      <w:caps/>
      <w:noProof/>
      <w:lang w:val="en-ZA"/>
    </w:rPr>
  </w:style>
  <w:style w:type="paragraph" w:styleId="TOC2">
    <w:name w:val="toc 2"/>
    <w:basedOn w:val="Normal"/>
    <w:next w:val="Normal"/>
    <w:autoRedefine/>
    <w:uiPriority w:val="39"/>
    <w:rsid w:val="0018350E"/>
    <w:pPr>
      <w:spacing w:before="0" w:after="0"/>
      <w:ind w:left="220"/>
      <w:jc w:val="left"/>
    </w:pPr>
    <w:rPr>
      <w:smallCaps/>
      <w:sz w:val="20"/>
      <w:szCs w:val="20"/>
    </w:rPr>
  </w:style>
  <w:style w:type="paragraph" w:styleId="TOC3">
    <w:name w:val="toc 3"/>
    <w:basedOn w:val="Normal"/>
    <w:next w:val="Normal"/>
    <w:autoRedefine/>
    <w:uiPriority w:val="39"/>
    <w:rsid w:val="0018350E"/>
    <w:pPr>
      <w:spacing w:before="0" w:after="0"/>
      <w:ind w:left="440"/>
      <w:jc w:val="left"/>
    </w:pPr>
    <w:rPr>
      <w:i/>
      <w:iCs/>
      <w:sz w:val="20"/>
      <w:szCs w:val="20"/>
    </w:rPr>
  </w:style>
  <w:style w:type="paragraph" w:styleId="Caption">
    <w:name w:val="caption"/>
    <w:basedOn w:val="Normal"/>
    <w:next w:val="Normal"/>
    <w:autoRedefine/>
    <w:qFormat/>
    <w:rsid w:val="00E7110D"/>
    <w:pPr>
      <w:framePr w:hSpace="181" w:vSpace="181" w:wrap="around" w:vAnchor="text" w:hAnchor="text" w:y="1"/>
      <w:spacing w:before="0" w:after="0" w:line="240" w:lineRule="auto"/>
      <w:suppressOverlap/>
    </w:pPr>
    <w:rPr>
      <w:rFonts w:ascii="Garamond" w:hAnsi="Garamond"/>
      <w:b/>
      <w:bCs/>
      <w:szCs w:val="24"/>
    </w:rPr>
  </w:style>
  <w:style w:type="paragraph" w:styleId="TableofFigures">
    <w:name w:val="table of figures"/>
    <w:aliases w:val="Ouote"/>
    <w:basedOn w:val="ColorfulGrid-Accent11"/>
    <w:next w:val="ColorfulGrid-Accent11"/>
    <w:autoRedefine/>
    <w:uiPriority w:val="99"/>
    <w:rsid w:val="00F63FEC"/>
    <w:pPr>
      <w:tabs>
        <w:tab w:val="right" w:leader="dot" w:pos="9016"/>
      </w:tabs>
      <w:spacing w:before="0" w:after="0"/>
      <w:ind w:left="440" w:hanging="440"/>
      <w:jc w:val="left"/>
    </w:pPr>
    <w:rPr>
      <w:rFonts w:ascii="Garamond" w:hAnsi="Garamond"/>
      <w:i w:val="0"/>
      <w:iCs w:val="0"/>
      <w:smallCaps/>
      <w:noProof/>
      <w:sz w:val="20"/>
    </w:rPr>
  </w:style>
  <w:style w:type="paragraph" w:customStyle="1" w:styleId="ColorfulGrid-Accent11">
    <w:name w:val="Colorful Grid - Accent 11"/>
    <w:basedOn w:val="Normal"/>
    <w:next w:val="Normal"/>
    <w:link w:val="ColorfulGrid-Accent1Char"/>
    <w:qFormat/>
    <w:rsid w:val="0018350E"/>
    <w:pPr>
      <w:ind w:left="720"/>
    </w:pPr>
    <w:rPr>
      <w:rFonts w:cs="Times New Roman"/>
      <w:i/>
      <w:iCs/>
      <w:szCs w:val="20"/>
      <w:lang w:eastAsia="ko-KR"/>
    </w:rPr>
  </w:style>
  <w:style w:type="character" w:customStyle="1" w:styleId="ColorfulGrid-Accent1Char">
    <w:name w:val="Colorful Grid - Accent 1 Char"/>
    <w:link w:val="ColorfulGrid-Accent11"/>
    <w:locked/>
    <w:rsid w:val="0018350E"/>
    <w:rPr>
      <w:i/>
      <w:sz w:val="22"/>
    </w:rPr>
  </w:style>
  <w:style w:type="paragraph" w:styleId="Title">
    <w:name w:val="Title"/>
    <w:basedOn w:val="Normal"/>
    <w:next w:val="Normal"/>
    <w:link w:val="TitleChar"/>
    <w:qFormat/>
    <w:rsid w:val="0018350E"/>
    <w:pPr>
      <w:spacing w:before="720"/>
    </w:pPr>
    <w:rPr>
      <w:rFonts w:cs="Times New Roman"/>
      <w:caps/>
      <w:color w:val="4F81BD"/>
      <w:spacing w:val="10"/>
      <w:kern w:val="28"/>
      <w:sz w:val="52"/>
      <w:szCs w:val="52"/>
      <w:lang w:eastAsia="ko-KR"/>
    </w:rPr>
  </w:style>
  <w:style w:type="character" w:customStyle="1" w:styleId="TitleChar">
    <w:name w:val="Title Char"/>
    <w:link w:val="Title"/>
    <w:locked/>
    <w:rsid w:val="0018350E"/>
    <w:rPr>
      <w:caps/>
      <w:color w:val="4F81BD"/>
      <w:spacing w:val="10"/>
      <w:kern w:val="28"/>
      <w:sz w:val="52"/>
    </w:rPr>
  </w:style>
  <w:style w:type="paragraph" w:styleId="Subtitle">
    <w:name w:val="Subtitle"/>
    <w:basedOn w:val="Normal"/>
    <w:next w:val="Normal"/>
    <w:link w:val="SubtitleChar"/>
    <w:qFormat/>
    <w:rsid w:val="0018350E"/>
    <w:pPr>
      <w:spacing w:after="1000" w:line="240" w:lineRule="auto"/>
    </w:pPr>
    <w:rPr>
      <w:rFonts w:cs="Times New Roman"/>
      <w:caps/>
      <w:color w:val="595959"/>
      <w:spacing w:val="10"/>
      <w:sz w:val="24"/>
      <w:szCs w:val="24"/>
      <w:lang w:eastAsia="ko-KR"/>
    </w:rPr>
  </w:style>
  <w:style w:type="character" w:customStyle="1" w:styleId="SubtitleChar">
    <w:name w:val="Subtitle Char"/>
    <w:link w:val="Subtitle"/>
    <w:locked/>
    <w:rsid w:val="0018350E"/>
    <w:rPr>
      <w:caps/>
      <w:color w:val="595959"/>
      <w:spacing w:val="10"/>
      <w:sz w:val="24"/>
    </w:rPr>
  </w:style>
  <w:style w:type="character" w:styleId="Strong">
    <w:name w:val="Strong"/>
    <w:qFormat/>
    <w:rsid w:val="0018350E"/>
    <w:rPr>
      <w:b/>
    </w:rPr>
  </w:style>
  <w:style w:type="character" w:styleId="Emphasis">
    <w:name w:val="Emphasis"/>
    <w:qFormat/>
    <w:rsid w:val="0018350E"/>
    <w:rPr>
      <w:caps/>
      <w:color w:val="243F60"/>
      <w:spacing w:val="5"/>
    </w:rPr>
  </w:style>
  <w:style w:type="paragraph" w:customStyle="1" w:styleId="NoSpacing1">
    <w:name w:val="No Spacing1"/>
    <w:basedOn w:val="Normal"/>
    <w:link w:val="NoSpacingChar"/>
    <w:qFormat/>
    <w:rsid w:val="0018350E"/>
    <w:pPr>
      <w:spacing w:before="0" w:after="0" w:line="240" w:lineRule="auto"/>
    </w:pPr>
    <w:rPr>
      <w:rFonts w:cs="Times New Roman"/>
      <w:sz w:val="20"/>
      <w:szCs w:val="20"/>
      <w:lang w:eastAsia="ko-KR"/>
    </w:rPr>
  </w:style>
  <w:style w:type="character" w:customStyle="1" w:styleId="NoSpacingChar">
    <w:name w:val="No Spacing Char"/>
    <w:link w:val="NoSpacing1"/>
    <w:locked/>
    <w:rsid w:val="0018350E"/>
    <w:rPr>
      <w:sz w:val="20"/>
    </w:rPr>
  </w:style>
  <w:style w:type="paragraph" w:customStyle="1" w:styleId="ColorfulList-Accent11">
    <w:name w:val="Colorful List - Accent 11"/>
    <w:basedOn w:val="Normal"/>
    <w:uiPriority w:val="34"/>
    <w:qFormat/>
    <w:rsid w:val="0018350E"/>
    <w:pPr>
      <w:ind w:left="720"/>
    </w:pPr>
  </w:style>
  <w:style w:type="character" w:customStyle="1" w:styleId="SubtleEmphasis1">
    <w:name w:val="Subtle Emphasis1"/>
    <w:qFormat/>
    <w:rsid w:val="0018350E"/>
    <w:rPr>
      <w:i/>
      <w:color w:val="243F60"/>
    </w:rPr>
  </w:style>
  <w:style w:type="character" w:customStyle="1" w:styleId="IntenseEmphasis1">
    <w:name w:val="Intense Emphasis1"/>
    <w:qFormat/>
    <w:rsid w:val="0018350E"/>
    <w:rPr>
      <w:b/>
      <w:caps/>
      <w:color w:val="243F60"/>
      <w:spacing w:val="10"/>
    </w:rPr>
  </w:style>
  <w:style w:type="character" w:customStyle="1" w:styleId="SubtleReference1">
    <w:name w:val="Subtle Reference1"/>
    <w:qFormat/>
    <w:rsid w:val="0018350E"/>
    <w:rPr>
      <w:b/>
      <w:color w:val="4F81BD"/>
    </w:rPr>
  </w:style>
  <w:style w:type="character" w:customStyle="1" w:styleId="IntenseReference1">
    <w:name w:val="Intense Reference1"/>
    <w:qFormat/>
    <w:rsid w:val="0018350E"/>
    <w:rPr>
      <w:b/>
      <w:i/>
      <w:caps/>
      <w:color w:val="4F81BD"/>
    </w:rPr>
  </w:style>
  <w:style w:type="character" w:customStyle="1" w:styleId="BookTitle1">
    <w:name w:val="Book Title1"/>
    <w:qFormat/>
    <w:rsid w:val="0018350E"/>
    <w:rPr>
      <w:b/>
      <w:i/>
      <w:spacing w:val="9"/>
    </w:rPr>
  </w:style>
  <w:style w:type="paragraph" w:customStyle="1" w:styleId="TOCHeading1">
    <w:name w:val="TOC Heading1"/>
    <w:basedOn w:val="Heading1"/>
    <w:next w:val="Normal"/>
    <w:qFormat/>
    <w:rsid w:val="0018350E"/>
    <w:pPr>
      <w:numPr>
        <w:numId w:val="0"/>
      </w:numPr>
      <w:outlineLvl w:val="9"/>
    </w:pPr>
    <w:rPr>
      <w:rFonts w:ascii="Georgia" w:hAnsi="Georgia" w:cs="Georgia"/>
    </w:rPr>
  </w:style>
  <w:style w:type="character" w:styleId="CommentReference">
    <w:name w:val="annotation reference"/>
    <w:uiPriority w:val="99"/>
    <w:semiHidden/>
    <w:rsid w:val="00603E6B"/>
    <w:rPr>
      <w:sz w:val="16"/>
    </w:rPr>
  </w:style>
  <w:style w:type="paragraph" w:styleId="CommentText">
    <w:name w:val="annotation text"/>
    <w:basedOn w:val="Normal"/>
    <w:link w:val="CommentTextChar"/>
    <w:uiPriority w:val="99"/>
    <w:semiHidden/>
    <w:rsid w:val="00603E6B"/>
    <w:pPr>
      <w:spacing w:line="240" w:lineRule="auto"/>
    </w:pPr>
    <w:rPr>
      <w:rFonts w:cs="Times New Roman"/>
      <w:sz w:val="20"/>
      <w:szCs w:val="20"/>
      <w:lang w:val="en-ZA" w:eastAsia="ko-KR"/>
    </w:rPr>
  </w:style>
  <w:style w:type="character" w:customStyle="1" w:styleId="CommentTextChar">
    <w:name w:val="Comment Text Char"/>
    <w:link w:val="CommentText"/>
    <w:uiPriority w:val="99"/>
    <w:locked/>
    <w:rsid w:val="00603E6B"/>
    <w:rPr>
      <w:lang w:val="en-ZA"/>
    </w:rPr>
  </w:style>
  <w:style w:type="paragraph" w:styleId="CommentSubject">
    <w:name w:val="annotation subject"/>
    <w:basedOn w:val="CommentText"/>
    <w:next w:val="CommentText"/>
    <w:link w:val="CommentSubjectChar"/>
    <w:semiHidden/>
    <w:rsid w:val="00603E6B"/>
    <w:rPr>
      <w:b/>
      <w:bCs/>
    </w:rPr>
  </w:style>
  <w:style w:type="character" w:customStyle="1" w:styleId="CommentSubjectChar">
    <w:name w:val="Comment Subject Char"/>
    <w:link w:val="CommentSubject"/>
    <w:semiHidden/>
    <w:locked/>
    <w:rsid w:val="00603E6B"/>
    <w:rPr>
      <w:b/>
      <w:lang w:val="en-ZA"/>
    </w:rPr>
  </w:style>
  <w:style w:type="paragraph" w:styleId="PlainText">
    <w:name w:val="Plain Text"/>
    <w:basedOn w:val="Normal"/>
    <w:link w:val="PlainTextChar"/>
    <w:semiHidden/>
    <w:rsid w:val="00F80EE9"/>
    <w:pPr>
      <w:spacing w:before="0" w:after="0" w:line="240" w:lineRule="auto"/>
      <w:jc w:val="left"/>
    </w:pPr>
    <w:rPr>
      <w:rFonts w:ascii="Consolas" w:eastAsia="Calibri" w:hAnsi="Consolas" w:cs="Times New Roman"/>
      <w:sz w:val="21"/>
      <w:szCs w:val="21"/>
      <w:lang w:val="en-ZA" w:eastAsia="en-ZA"/>
    </w:rPr>
  </w:style>
  <w:style w:type="character" w:customStyle="1" w:styleId="PlainTextChar">
    <w:name w:val="Plain Text Char"/>
    <w:link w:val="PlainText"/>
    <w:semiHidden/>
    <w:locked/>
    <w:rsid w:val="00F80EE9"/>
    <w:rPr>
      <w:rFonts w:ascii="Consolas" w:hAnsi="Consolas"/>
      <w:sz w:val="21"/>
      <w:lang w:val="en-ZA" w:eastAsia="en-ZA"/>
    </w:rPr>
  </w:style>
  <w:style w:type="paragraph" w:customStyle="1" w:styleId="Bibliography1">
    <w:name w:val="Bibliography1"/>
    <w:basedOn w:val="Normal"/>
    <w:next w:val="Normal"/>
    <w:rsid w:val="004B1989"/>
  </w:style>
  <w:style w:type="paragraph" w:styleId="NormalWeb">
    <w:name w:val="Normal (Web)"/>
    <w:basedOn w:val="Normal"/>
    <w:uiPriority w:val="99"/>
    <w:rsid w:val="00DC033B"/>
    <w:pPr>
      <w:spacing w:before="0" w:after="216" w:line="264" w:lineRule="atLeast"/>
      <w:jc w:val="left"/>
    </w:pPr>
    <w:rPr>
      <w:rFonts w:ascii="Times New Roman" w:hAnsi="Times New Roman" w:cs="Times New Roman"/>
      <w:sz w:val="24"/>
      <w:szCs w:val="24"/>
      <w:lang w:eastAsia="en-ZA"/>
    </w:rPr>
  </w:style>
  <w:style w:type="character" w:styleId="FollowedHyperlink">
    <w:name w:val="FollowedHyperlink"/>
    <w:semiHidden/>
    <w:rsid w:val="00CC698B"/>
    <w:rPr>
      <w:color w:val="800080"/>
      <w:u w:val="single"/>
    </w:rPr>
  </w:style>
  <w:style w:type="paragraph" w:styleId="TOC4">
    <w:name w:val="toc 4"/>
    <w:basedOn w:val="Normal"/>
    <w:next w:val="Normal"/>
    <w:autoRedefine/>
    <w:semiHidden/>
    <w:rsid w:val="00354817"/>
    <w:pPr>
      <w:spacing w:before="0" w:after="0"/>
      <w:ind w:left="660"/>
      <w:jc w:val="left"/>
    </w:pPr>
    <w:rPr>
      <w:sz w:val="20"/>
    </w:rPr>
  </w:style>
  <w:style w:type="paragraph" w:styleId="TOC5">
    <w:name w:val="toc 5"/>
    <w:basedOn w:val="Normal"/>
    <w:next w:val="Normal"/>
    <w:autoRedefine/>
    <w:semiHidden/>
    <w:rsid w:val="00354817"/>
    <w:pPr>
      <w:spacing w:before="0" w:after="0"/>
      <w:ind w:left="880"/>
      <w:jc w:val="left"/>
    </w:pPr>
    <w:rPr>
      <w:sz w:val="20"/>
    </w:rPr>
  </w:style>
  <w:style w:type="paragraph" w:styleId="TOC6">
    <w:name w:val="toc 6"/>
    <w:basedOn w:val="Normal"/>
    <w:next w:val="Normal"/>
    <w:autoRedefine/>
    <w:semiHidden/>
    <w:rsid w:val="00354817"/>
    <w:pPr>
      <w:spacing w:before="0" w:after="0"/>
      <w:ind w:left="1100"/>
      <w:jc w:val="left"/>
    </w:pPr>
    <w:rPr>
      <w:sz w:val="20"/>
    </w:rPr>
  </w:style>
  <w:style w:type="paragraph" w:styleId="TOC7">
    <w:name w:val="toc 7"/>
    <w:basedOn w:val="Normal"/>
    <w:next w:val="Normal"/>
    <w:autoRedefine/>
    <w:semiHidden/>
    <w:rsid w:val="00354817"/>
    <w:pPr>
      <w:spacing w:before="0" w:after="0"/>
      <w:ind w:left="1320"/>
      <w:jc w:val="left"/>
    </w:pPr>
    <w:rPr>
      <w:sz w:val="20"/>
    </w:rPr>
  </w:style>
  <w:style w:type="paragraph" w:styleId="TOC8">
    <w:name w:val="toc 8"/>
    <w:basedOn w:val="Normal"/>
    <w:next w:val="Normal"/>
    <w:autoRedefine/>
    <w:semiHidden/>
    <w:rsid w:val="00354817"/>
    <w:pPr>
      <w:spacing w:before="0" w:after="0"/>
      <w:ind w:left="1540"/>
      <w:jc w:val="left"/>
    </w:pPr>
    <w:rPr>
      <w:sz w:val="20"/>
    </w:rPr>
  </w:style>
  <w:style w:type="paragraph" w:styleId="TOC9">
    <w:name w:val="toc 9"/>
    <w:basedOn w:val="Normal"/>
    <w:next w:val="Normal"/>
    <w:autoRedefine/>
    <w:semiHidden/>
    <w:rsid w:val="00354817"/>
    <w:pPr>
      <w:spacing w:before="0" w:after="0"/>
      <w:ind w:left="1760"/>
      <w:jc w:val="left"/>
    </w:pPr>
    <w:rPr>
      <w:sz w:val="20"/>
    </w:rPr>
  </w:style>
  <w:style w:type="table" w:styleId="TableGrid">
    <w:name w:val="Table Grid"/>
    <w:basedOn w:val="TableNormal"/>
    <w:uiPriority w:val="59"/>
    <w:rsid w:val="00E6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paragraph" w:customStyle="1" w:styleId="Pa9">
    <w:name w:val="Pa9"/>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character" w:customStyle="1" w:styleId="A5">
    <w:name w:val="A5"/>
    <w:rsid w:val="006A11EC"/>
    <w:rPr>
      <w:color w:val="000000"/>
      <w:sz w:val="20"/>
    </w:rPr>
  </w:style>
  <w:style w:type="paragraph" w:styleId="BodyText">
    <w:name w:val="Body Text"/>
    <w:basedOn w:val="Normal"/>
    <w:link w:val="BodyTextChar"/>
    <w:rsid w:val="00BD283F"/>
    <w:pPr>
      <w:pBdr>
        <w:top w:val="double" w:sz="4" w:space="1" w:color="auto" w:shadow="1"/>
        <w:left w:val="double" w:sz="4" w:space="4" w:color="auto" w:shadow="1"/>
        <w:bottom w:val="double" w:sz="4" w:space="1" w:color="auto" w:shadow="1"/>
        <w:right w:val="double" w:sz="4" w:space="4" w:color="auto" w:shadow="1"/>
      </w:pBdr>
      <w:spacing w:before="0" w:after="0" w:line="280" w:lineRule="exact"/>
    </w:pPr>
    <w:rPr>
      <w:rFonts w:ascii="Tahoma" w:hAnsi="Tahoma" w:cs="Times New Roman"/>
      <w:sz w:val="20"/>
      <w:szCs w:val="20"/>
      <w:lang w:eastAsia="ko-KR"/>
    </w:rPr>
  </w:style>
  <w:style w:type="character" w:customStyle="1" w:styleId="BodyTextChar">
    <w:name w:val="Body Text Char"/>
    <w:link w:val="BodyText"/>
    <w:locked/>
    <w:rsid w:val="00BD283F"/>
    <w:rPr>
      <w:rFonts w:ascii="Tahoma" w:hAnsi="Tahoma"/>
    </w:rPr>
  </w:style>
  <w:style w:type="paragraph" w:styleId="Header">
    <w:name w:val="header"/>
    <w:basedOn w:val="Normal"/>
    <w:link w:val="HeaderChar"/>
    <w:rsid w:val="00B83BF7"/>
    <w:pPr>
      <w:tabs>
        <w:tab w:val="center" w:pos="4513"/>
        <w:tab w:val="right" w:pos="9026"/>
      </w:tabs>
      <w:spacing w:before="0" w:after="0" w:line="240" w:lineRule="auto"/>
    </w:pPr>
    <w:rPr>
      <w:rFonts w:cs="Times New Roman"/>
      <w:lang w:val="en-ZA" w:eastAsia="ko-KR"/>
    </w:rPr>
  </w:style>
  <w:style w:type="character" w:customStyle="1" w:styleId="HeaderChar">
    <w:name w:val="Header Char"/>
    <w:link w:val="Header"/>
    <w:locked/>
    <w:rsid w:val="00B83BF7"/>
    <w:rPr>
      <w:sz w:val="22"/>
      <w:lang w:val="en-ZA"/>
    </w:rPr>
  </w:style>
  <w:style w:type="paragraph" w:styleId="Footer">
    <w:name w:val="footer"/>
    <w:basedOn w:val="Normal"/>
    <w:link w:val="FooterChar"/>
    <w:rsid w:val="00B83BF7"/>
    <w:pPr>
      <w:tabs>
        <w:tab w:val="center" w:pos="4513"/>
        <w:tab w:val="right" w:pos="9026"/>
      </w:tabs>
      <w:spacing w:before="0" w:after="0" w:line="240" w:lineRule="auto"/>
    </w:pPr>
    <w:rPr>
      <w:rFonts w:cs="Times New Roman"/>
      <w:lang w:val="en-ZA" w:eastAsia="ko-KR"/>
    </w:rPr>
  </w:style>
  <w:style w:type="character" w:customStyle="1" w:styleId="FooterChar">
    <w:name w:val="Footer Char"/>
    <w:link w:val="Footer"/>
    <w:locked/>
    <w:rsid w:val="00B83BF7"/>
    <w:rPr>
      <w:sz w:val="22"/>
      <w:lang w:val="en-ZA"/>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OOTNOTES,ft"/>
    <w:basedOn w:val="Normal"/>
    <w:link w:val="FootnoteTextChar"/>
    <w:rsid w:val="00A36D76"/>
    <w:pPr>
      <w:spacing w:before="0" w:after="0" w:line="240" w:lineRule="auto"/>
    </w:pPr>
    <w:rPr>
      <w:rFonts w:cs="Times New Roman"/>
      <w:sz w:val="20"/>
      <w:szCs w:val="20"/>
      <w:lang w:val="en-ZA" w:eastAsia="ko-KR"/>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link w:val="FootnoteText"/>
    <w:locked/>
    <w:rsid w:val="00A36D76"/>
    <w:rPr>
      <w:lang w:val="en-ZA"/>
    </w:rPr>
  </w:style>
  <w:style w:type="character" w:styleId="FootnoteReference">
    <w:name w:val="footnote reference"/>
    <w:aliases w:val="Footnote symbol,Footnote,BVI fnr,Voetnootverwijzing,Times 10 Point,Exposant 3 Point,Appel note de bas de p,heading1,Footnote Reference1,16 Point,Superscript 6 Point,Superscript 6 Point + 11 pt,ftref,fr,Ref,de nota al pie"/>
    <w:rsid w:val="00A36D76"/>
    <w:rPr>
      <w:vertAlign w:val="superscript"/>
    </w:rPr>
  </w:style>
  <w:style w:type="paragraph" w:styleId="EndnoteText">
    <w:name w:val="endnote text"/>
    <w:basedOn w:val="Normal"/>
    <w:link w:val="EndnoteTextChar"/>
    <w:semiHidden/>
    <w:rsid w:val="00C66CE5"/>
    <w:pPr>
      <w:spacing w:before="0" w:after="0" w:line="240" w:lineRule="auto"/>
    </w:pPr>
    <w:rPr>
      <w:rFonts w:cs="Times New Roman"/>
      <w:sz w:val="20"/>
      <w:szCs w:val="20"/>
      <w:lang w:val="en-ZA" w:eastAsia="ko-KR"/>
    </w:rPr>
  </w:style>
  <w:style w:type="character" w:customStyle="1" w:styleId="EndnoteTextChar">
    <w:name w:val="Endnote Text Char"/>
    <w:link w:val="EndnoteText"/>
    <w:semiHidden/>
    <w:locked/>
    <w:rsid w:val="00C66CE5"/>
    <w:rPr>
      <w:lang w:val="en-ZA"/>
    </w:rPr>
  </w:style>
  <w:style w:type="character" w:styleId="EndnoteReference">
    <w:name w:val="endnote reference"/>
    <w:semiHidden/>
    <w:rsid w:val="00C66CE5"/>
    <w:rPr>
      <w:vertAlign w:val="superscript"/>
    </w:rPr>
  </w:style>
  <w:style w:type="paragraph" w:customStyle="1" w:styleId="stand-first-alone">
    <w:name w:val="stand-first-alone"/>
    <w:basedOn w:val="Normal"/>
    <w:rsid w:val="0078534F"/>
    <w:pPr>
      <w:spacing w:before="100" w:beforeAutospacing="1" w:after="100" w:afterAutospacing="1" w:line="240" w:lineRule="auto"/>
      <w:jc w:val="left"/>
    </w:pPr>
    <w:rPr>
      <w:rFonts w:ascii="Times New Roman" w:hAnsi="Times New Roman" w:cs="Times New Roman"/>
      <w:sz w:val="24"/>
      <w:szCs w:val="24"/>
      <w:lang w:eastAsia="en-ZA"/>
    </w:rPr>
  </w:style>
  <w:style w:type="character" w:customStyle="1" w:styleId="fbconnectbuttontext11">
    <w:name w:val="fbconnectbutton_text11"/>
    <w:rsid w:val="0078534F"/>
  </w:style>
  <w:style w:type="character" w:customStyle="1" w:styleId="fbsharecountinner5">
    <w:name w:val="fb_share_count_inner5"/>
    <w:rsid w:val="0078534F"/>
    <w:rPr>
      <w:shd w:val="clear" w:color="auto" w:fill="E8EBF2"/>
    </w:rPr>
  </w:style>
  <w:style w:type="character" w:customStyle="1" w:styleId="comment-count">
    <w:name w:val="comment-count"/>
    <w:rsid w:val="0078534F"/>
  </w:style>
  <w:style w:type="paragraph" w:customStyle="1" w:styleId="Default">
    <w:name w:val="Default"/>
    <w:rsid w:val="00056571"/>
    <w:pPr>
      <w:autoSpaceDE w:val="0"/>
      <w:autoSpaceDN w:val="0"/>
      <w:adjustRightInd w:val="0"/>
    </w:pPr>
    <w:rPr>
      <w:rFonts w:ascii="Serifa 45 Light" w:hAnsi="Serifa 45 Light" w:cs="Serifa 45 Light"/>
      <w:color w:val="000000"/>
      <w:sz w:val="24"/>
      <w:szCs w:val="24"/>
      <w:lang w:val="en-ZA"/>
    </w:rPr>
  </w:style>
  <w:style w:type="character" w:customStyle="1" w:styleId="A0">
    <w:name w:val="A0"/>
    <w:rsid w:val="00056571"/>
    <w:rPr>
      <w:b/>
      <w:color w:val="000000"/>
      <w:sz w:val="32"/>
    </w:rPr>
  </w:style>
  <w:style w:type="paragraph" w:customStyle="1" w:styleId="Pa23">
    <w:name w:val="Pa23"/>
    <w:basedOn w:val="Default"/>
    <w:next w:val="Default"/>
    <w:rsid w:val="006D0574"/>
    <w:pPr>
      <w:spacing w:line="141" w:lineRule="atLeast"/>
    </w:pPr>
    <w:rPr>
      <w:rFonts w:ascii="Serifa 55 Roman" w:hAnsi="Serifa 55 Roman" w:cs="Times New Roman"/>
      <w:color w:val="auto"/>
    </w:rPr>
  </w:style>
  <w:style w:type="character" w:customStyle="1" w:styleId="specialb1">
    <w:name w:val="specialb1"/>
    <w:rsid w:val="001906D4"/>
    <w:rPr>
      <w:b/>
      <w:color w:val="000066"/>
    </w:rPr>
  </w:style>
  <w:style w:type="character" w:customStyle="1" w:styleId="ujeditorcustom-sub-title1">
    <w:name w:val="ujeditorcustom-sub-title1"/>
    <w:rsid w:val="00B509A6"/>
    <w:rPr>
      <w:rFonts w:ascii="Arial" w:hAnsi="Arial"/>
      <w:b/>
      <w:color w:val="000000"/>
      <w:sz w:val="15"/>
    </w:rPr>
  </w:style>
  <w:style w:type="character" w:customStyle="1" w:styleId="ujeditorcustom-content1">
    <w:name w:val="ujeditorcustom-content1"/>
    <w:rsid w:val="00B509A6"/>
    <w:rPr>
      <w:rFonts w:ascii="Arial" w:hAnsi="Arial"/>
      <w:color w:val="797979"/>
      <w:sz w:val="15"/>
    </w:rPr>
  </w:style>
  <w:style w:type="character" w:customStyle="1" w:styleId="subheader1">
    <w:name w:val="subheader1"/>
    <w:rsid w:val="004731C6"/>
    <w:rPr>
      <w:rFonts w:ascii="Arial" w:hAnsi="Arial"/>
      <w:color w:val="8A6B47"/>
      <w:sz w:val="21"/>
    </w:rPr>
  </w:style>
  <w:style w:type="paragraph" w:customStyle="1" w:styleId="ColorfulShading-Accent11">
    <w:name w:val="Colorful Shading - Accent 11"/>
    <w:hidden/>
    <w:semiHidden/>
    <w:rsid w:val="00D63882"/>
    <w:rPr>
      <w:sz w:val="22"/>
      <w:szCs w:val="22"/>
      <w:lang w:val="en-ZA"/>
    </w:rPr>
  </w:style>
  <w:style w:type="paragraph" w:customStyle="1" w:styleId="Referencestyle">
    <w:name w:val="Reference style"/>
    <w:basedOn w:val="Normal"/>
    <w:rsid w:val="00162561"/>
    <w:pPr>
      <w:spacing w:before="0" w:after="0" w:line="240" w:lineRule="auto"/>
      <w:jc w:val="left"/>
    </w:pPr>
    <w:rPr>
      <w:rFonts w:ascii="Times New Roman" w:hAnsi="Times New Roman" w:cs="Times New Roman"/>
      <w:sz w:val="24"/>
      <w:szCs w:val="20"/>
    </w:rPr>
  </w:style>
  <w:style w:type="paragraph" w:styleId="BodyText3">
    <w:name w:val="Body Text 3"/>
    <w:basedOn w:val="Normal"/>
    <w:link w:val="BodyText3Char"/>
    <w:rsid w:val="005159E6"/>
    <w:pPr>
      <w:spacing w:before="0" w:after="120" w:line="240" w:lineRule="auto"/>
      <w:jc w:val="left"/>
    </w:pPr>
    <w:rPr>
      <w:rFonts w:ascii="Times New Roman" w:hAnsi="Times New Roman" w:cs="Times New Roman"/>
      <w:sz w:val="16"/>
      <w:szCs w:val="16"/>
      <w:lang w:eastAsia="it-IT"/>
    </w:rPr>
  </w:style>
  <w:style w:type="character" w:customStyle="1" w:styleId="BodyText3Char">
    <w:name w:val="Body Text 3 Char"/>
    <w:link w:val="BodyText3"/>
    <w:locked/>
    <w:rsid w:val="005159E6"/>
    <w:rPr>
      <w:rFonts w:ascii="Times New Roman" w:hAnsi="Times New Roman" w:cs="Times New Roman"/>
      <w:sz w:val="16"/>
      <w:szCs w:val="16"/>
      <w:lang w:eastAsia="it-IT"/>
    </w:rPr>
  </w:style>
  <w:style w:type="table" w:styleId="TableClassic1">
    <w:name w:val="Table Classic 1"/>
    <w:basedOn w:val="TableNormal"/>
    <w:rsid w:val="00151CB7"/>
    <w:pPr>
      <w:spacing w:before="200" w:after="200" w:line="276" w:lineRule="auto"/>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MS Gothic"/>
        <w:i/>
        <w:iCs/>
      </w:rPr>
      <w:tblPr/>
      <w:tcPr>
        <w:tcBorders>
          <w:bottom w:val="single" w:sz="6" w:space="0" w:color="000000"/>
        </w:tcBorders>
      </w:tcPr>
    </w:tblStylePr>
    <w:tblStylePr w:type="lastRow">
      <w:rPr>
        <w:rFonts w:cs="MS Gothic"/>
        <w:color w:val="auto"/>
      </w:rPr>
      <w:tblPr/>
      <w:tcPr>
        <w:tcBorders>
          <w:top w:val="single" w:sz="6" w:space="0" w:color="000000"/>
        </w:tcBorders>
      </w:tcPr>
    </w:tblStylePr>
    <w:tblStylePr w:type="firstCol">
      <w:rPr>
        <w:rFonts w:cs="MS Gothic"/>
      </w:rPr>
      <w:tblPr/>
      <w:tcPr>
        <w:tcBorders>
          <w:right w:val="single" w:sz="6" w:space="0" w:color="000000"/>
        </w:tcBorders>
      </w:tcPr>
    </w:tblStylePr>
    <w:tblStylePr w:type="neCell">
      <w:rPr>
        <w:rFonts w:cs="MS Gothic"/>
        <w:b/>
        <w:bCs/>
        <w:i w:val="0"/>
        <w:iCs w:val="0"/>
      </w:rPr>
    </w:tblStylePr>
    <w:tblStylePr w:type="swCell">
      <w:rPr>
        <w:rFonts w:cs="MS Gothic"/>
        <w:b/>
        <w:bCs/>
      </w:rPr>
    </w:tblStylePr>
  </w:style>
  <w:style w:type="table" w:styleId="Table3Deffects1">
    <w:name w:val="Table 3D effects 1"/>
    <w:basedOn w:val="TableNormal"/>
    <w:rsid w:val="00151CB7"/>
    <w:pPr>
      <w:spacing w:before="200" w:after="200" w:line="276" w:lineRule="auto"/>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rFonts w:cs="MS Gothic"/>
        <w:b/>
        <w:bCs/>
        <w:color w:val="800080"/>
      </w:rPr>
      <w:tblPr/>
      <w:tcPr>
        <w:tcBorders>
          <w:bottom w:val="single" w:sz="6" w:space="0" w:color="808080"/>
        </w:tcBorders>
      </w:tcPr>
    </w:tblStylePr>
    <w:tblStylePr w:type="lastRow">
      <w:rPr>
        <w:rFonts w:cs="MS Gothic"/>
      </w:rPr>
      <w:tblPr/>
      <w:tcPr>
        <w:tcBorders>
          <w:top w:val="single" w:sz="6" w:space="0" w:color="FFFFFF"/>
        </w:tcBorders>
      </w:tcPr>
    </w:tblStylePr>
    <w:tblStylePr w:type="firstCol">
      <w:rPr>
        <w:rFonts w:cs="MS Gothic"/>
        <w:b/>
        <w:bCs/>
      </w:rPr>
      <w:tblPr/>
      <w:tcPr>
        <w:tcBorders>
          <w:right w:val="single" w:sz="6" w:space="0" w:color="808080"/>
        </w:tcBorders>
      </w:tcPr>
    </w:tblStylePr>
    <w:tblStylePr w:type="lastCol">
      <w:rPr>
        <w:rFonts w:cs="MS Gothic"/>
      </w:rPr>
      <w:tblPr/>
      <w:tcPr>
        <w:tcBorders>
          <w:left w:val="single" w:sz="6" w:space="0" w:color="FFFFFF"/>
        </w:tcBorders>
      </w:tcPr>
    </w:tblStylePr>
    <w:tblStylePr w:type="neCell">
      <w:rPr>
        <w:rFonts w:cs="MS Gothic"/>
      </w:rPr>
      <w:tblPr/>
      <w:tcPr>
        <w:tcBorders>
          <w:left w:val="none" w:sz="0" w:space="0" w:color="auto"/>
          <w:bottom w:val="none" w:sz="0" w:space="0" w:color="auto"/>
        </w:tcBorders>
      </w:tcPr>
    </w:tblStylePr>
    <w:tblStylePr w:type="nwCell">
      <w:rPr>
        <w:rFonts w:cs="MS Gothic"/>
      </w:rPr>
      <w:tblPr/>
      <w:tcPr>
        <w:tcBorders>
          <w:bottom w:val="none" w:sz="0" w:space="0" w:color="auto"/>
          <w:right w:val="none" w:sz="0" w:space="0" w:color="auto"/>
        </w:tcBorders>
      </w:tcPr>
    </w:tblStylePr>
    <w:tblStylePr w:type="seCell">
      <w:rPr>
        <w:rFonts w:cs="MS Gothic"/>
      </w:rPr>
      <w:tblPr/>
      <w:tcPr>
        <w:tcBorders>
          <w:top w:val="none" w:sz="0" w:space="0" w:color="auto"/>
          <w:left w:val="none" w:sz="0" w:space="0" w:color="auto"/>
        </w:tcBorders>
      </w:tcPr>
    </w:tblStylePr>
    <w:tblStylePr w:type="swCell">
      <w:rPr>
        <w:rFonts w:cs="MS Gothic"/>
        <w:color w:val="000080"/>
      </w:rPr>
      <w:tblPr/>
      <w:tcPr>
        <w:tcBorders>
          <w:top w:val="none" w:sz="0" w:space="0" w:color="auto"/>
          <w:right w:val="none" w:sz="0" w:space="0" w:color="auto"/>
        </w:tcBorders>
      </w:tcPr>
    </w:tblStylePr>
  </w:style>
  <w:style w:type="table" w:styleId="TableClassic4">
    <w:name w:val="Table Classic 4"/>
    <w:basedOn w:val="TableNormal"/>
    <w:rsid w:val="00151CB7"/>
    <w:pPr>
      <w:spacing w:before="200" w:after="200" w:line="276" w:lineRule="auto"/>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MS Gothic"/>
        <w:b/>
        <w:bCs/>
        <w:i/>
        <w:iCs/>
        <w:color w:val="FFFFFF"/>
      </w:rPr>
      <w:tblPr/>
      <w:tcPr>
        <w:tcBorders>
          <w:bottom w:val="single" w:sz="6" w:space="0" w:color="000000"/>
        </w:tcBorders>
        <w:shd w:val="pct50" w:color="000080" w:fill="FFFFFF"/>
      </w:tcPr>
    </w:tblStylePr>
    <w:tblStylePr w:type="lastRow">
      <w:rPr>
        <w:rFonts w:cs="MS Gothic"/>
        <w:color w:val="000080"/>
      </w:rPr>
      <w:tblPr/>
      <w:tcPr>
        <w:tcBorders>
          <w:bottom w:val="single" w:sz="6" w:space="0" w:color="000000"/>
        </w:tcBorders>
        <w:shd w:val="pct50" w:color="000000" w:fill="FFFFFF"/>
      </w:tcPr>
    </w:tblStylePr>
    <w:tblStylePr w:type="firstCol">
      <w:rPr>
        <w:rFonts w:cs="MS Gothic"/>
        <w:b/>
        <w:bCs/>
      </w:rPr>
    </w:tblStylePr>
    <w:tblStylePr w:type="nwCell">
      <w:rPr>
        <w:rFonts w:cs="MS Gothic"/>
        <w:b/>
        <w:bCs/>
      </w:rPr>
    </w:tblStylePr>
    <w:tblStylePr w:type="swCell">
      <w:rPr>
        <w:rFonts w:cs="MS Gothic"/>
        <w:color w:val="000080"/>
      </w:rPr>
    </w:tblStylePr>
  </w:style>
  <w:style w:type="paragraph" w:customStyle="1" w:styleId="Report-Title">
    <w:name w:val="Report-Title"/>
    <w:link w:val="Report-TitleChar"/>
    <w:rsid w:val="008F5130"/>
    <w:pPr>
      <w:spacing w:after="240"/>
    </w:pPr>
    <w:rPr>
      <w:rFonts w:ascii="Arial" w:hAnsi="Arial" w:cs="Times New Roman"/>
      <w:b/>
      <w:color w:val="00209E"/>
      <w:sz w:val="36"/>
      <w:szCs w:val="36"/>
    </w:rPr>
  </w:style>
  <w:style w:type="character" w:customStyle="1" w:styleId="Report-TitleChar">
    <w:name w:val="Report-Title Char"/>
    <w:link w:val="Report-Title"/>
    <w:locked/>
    <w:rsid w:val="008F5130"/>
    <w:rPr>
      <w:rFonts w:ascii="Arial" w:hAnsi="Arial"/>
      <w:b/>
      <w:color w:val="00209E"/>
      <w:sz w:val="36"/>
    </w:rPr>
  </w:style>
  <w:style w:type="paragraph" w:customStyle="1" w:styleId="Report-Type">
    <w:name w:val="Report-Type"/>
    <w:basedOn w:val="Normal"/>
    <w:link w:val="Report-TypeChar"/>
    <w:rsid w:val="008F5130"/>
    <w:pPr>
      <w:spacing w:before="120" w:after="480" w:line="240" w:lineRule="auto"/>
      <w:jc w:val="left"/>
    </w:pPr>
    <w:rPr>
      <w:rFonts w:ascii="Times New Roman" w:eastAsia="Calibri" w:hAnsi="Times New Roman" w:cs="Times New Roman"/>
      <w:i/>
      <w:color w:val="009543"/>
      <w:sz w:val="28"/>
      <w:szCs w:val="28"/>
      <w:lang w:val="en-GB" w:eastAsia="ko-KR"/>
    </w:rPr>
  </w:style>
  <w:style w:type="character" w:customStyle="1" w:styleId="Report-TypeChar">
    <w:name w:val="Report-Type Char"/>
    <w:link w:val="Report-Type"/>
    <w:locked/>
    <w:rsid w:val="008F5130"/>
    <w:rPr>
      <w:rFonts w:ascii="Times New Roman" w:hAnsi="Times New Roman"/>
      <w:i/>
      <w:color w:val="009543"/>
      <w:sz w:val="28"/>
      <w:lang w:val="en-GB"/>
    </w:rPr>
  </w:style>
  <w:style w:type="paragraph" w:customStyle="1" w:styleId="Report-Info">
    <w:name w:val="Report-Info"/>
    <w:rsid w:val="008F5130"/>
    <w:rPr>
      <w:rFonts w:ascii="Times New Roman" w:hAnsi="Times New Roman" w:cs="Times New Roman"/>
      <w:sz w:val="22"/>
      <w:szCs w:val="24"/>
    </w:rPr>
  </w:style>
  <w:style w:type="paragraph" w:customStyle="1" w:styleId="a">
    <w:basedOn w:val="Normal"/>
    <w:rsid w:val="00905ACD"/>
    <w:pPr>
      <w:spacing w:before="0" w:after="160" w:line="240" w:lineRule="exact"/>
      <w:jc w:val="left"/>
    </w:pPr>
    <w:rPr>
      <w:rFonts w:ascii="Arial" w:hAnsi="Arial" w:cs="Arial"/>
      <w:sz w:val="20"/>
      <w:szCs w:val="20"/>
    </w:rPr>
  </w:style>
  <w:style w:type="paragraph" w:customStyle="1" w:styleId="CharChar10">
    <w:name w:val="Char Char10"/>
    <w:basedOn w:val="Normal"/>
    <w:rsid w:val="000711E9"/>
    <w:pPr>
      <w:spacing w:before="0" w:after="160" w:line="240" w:lineRule="exact"/>
      <w:jc w:val="left"/>
    </w:pPr>
    <w:rPr>
      <w:rFonts w:ascii="Verdana" w:hAnsi="Verdana" w:cs="Times New Roman"/>
      <w:sz w:val="20"/>
      <w:szCs w:val="20"/>
      <w:lang w:val="en-GB"/>
    </w:rPr>
  </w:style>
  <w:style w:type="paragraph" w:customStyle="1" w:styleId="A-PDSTA-TableHeader">
    <w:name w:val="A - PDS TA - Table Header"/>
    <w:basedOn w:val="Normal"/>
    <w:rsid w:val="00110F19"/>
    <w:pPr>
      <w:spacing w:before="0" w:after="0" w:line="240" w:lineRule="auto"/>
      <w:jc w:val="left"/>
    </w:pPr>
    <w:rPr>
      <w:rFonts w:ascii="Arial" w:hAnsi="Arial" w:cs="Arial"/>
      <w:b/>
      <w:bCs/>
      <w:sz w:val="16"/>
      <w:szCs w:val="16"/>
    </w:rPr>
  </w:style>
  <w:style w:type="paragraph" w:customStyle="1" w:styleId="ListParagraph1">
    <w:name w:val="List Paragraph1"/>
    <w:basedOn w:val="Normal"/>
    <w:rsid w:val="008C3EFF"/>
    <w:pPr>
      <w:spacing w:before="0"/>
      <w:ind w:left="720"/>
      <w:jc w:val="left"/>
    </w:pPr>
    <w:rPr>
      <w:rFonts w:cs="Times New Roman"/>
      <w:lang w:val="en-AU" w:eastAsia="en-AU"/>
    </w:rPr>
  </w:style>
  <w:style w:type="character" w:customStyle="1" w:styleId="apple-converted-space">
    <w:name w:val="apple-converted-space"/>
    <w:basedOn w:val="DefaultParagraphFont"/>
    <w:rsid w:val="008C6004"/>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5E6881"/>
    <w:pPr>
      <w:spacing w:before="0" w:after="160" w:line="240" w:lineRule="exact"/>
      <w:jc w:val="left"/>
    </w:pPr>
    <w:rPr>
      <w:rFonts w:ascii="Arial" w:hAnsi="Arial" w:cs="Arial"/>
      <w:sz w:val="20"/>
      <w:szCs w:val="20"/>
    </w:rPr>
  </w:style>
  <w:style w:type="paragraph" w:customStyle="1" w:styleId="Letdear">
    <w:name w:val="Let: dear"/>
    <w:basedOn w:val="Normal"/>
    <w:rsid w:val="00A92649"/>
    <w:pPr>
      <w:tabs>
        <w:tab w:val="left" w:pos="5400"/>
        <w:tab w:val="left" w:pos="7200"/>
      </w:tabs>
      <w:spacing w:before="0" w:after="0" w:line="240" w:lineRule="auto"/>
      <w:jc w:val="left"/>
    </w:pPr>
    <w:rPr>
      <w:rFonts w:ascii="Times New Roman" w:hAnsi="Times New Roman" w:cs="Times New Roman"/>
      <w:sz w:val="24"/>
      <w:szCs w:val="20"/>
    </w:rPr>
  </w:style>
  <w:style w:type="paragraph" w:styleId="ListParagraph">
    <w:name w:val="List Paragraph"/>
    <w:basedOn w:val="Normal"/>
    <w:qFormat/>
    <w:rsid w:val="00E97643"/>
    <w:pPr>
      <w:ind w:left="720"/>
      <w:contextualSpacing/>
    </w:pPr>
  </w:style>
  <w:style w:type="paragraph" w:styleId="DocumentMap">
    <w:name w:val="Document Map"/>
    <w:basedOn w:val="Normal"/>
    <w:link w:val="DocumentMapChar"/>
    <w:rsid w:val="00AC6D44"/>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AC6D44"/>
    <w:rPr>
      <w:rFonts w:ascii="Lucida Grande" w:eastAsia="Times New Roman" w:hAnsi="Lucida Grande" w:cs="Lucida Grande"/>
      <w:sz w:val="24"/>
      <w:szCs w:val="24"/>
    </w:rPr>
  </w:style>
  <w:style w:type="paragraph" w:customStyle="1" w:styleId="TableGrid1">
    <w:name w:val="Table Grid1"/>
    <w:rsid w:val="00DD53B1"/>
    <w:pPr>
      <w:suppressAutoHyphens/>
      <w:spacing w:line="100" w:lineRule="atLeast"/>
    </w:pPr>
    <w:rPr>
      <w:rFonts w:ascii="Times New Roman" w:eastAsia="ヒラギノ角ゴ Pro W3" w:hAnsi="Times New Roman" w:cs="Times New Roman"/>
      <w:color w:val="000000"/>
      <w:lang w:val="en-GB"/>
    </w:rPr>
  </w:style>
  <w:style w:type="paragraph" w:customStyle="1" w:styleId="CaptionA">
    <w:name w:val="Caption A"/>
    <w:rsid w:val="00DD53B1"/>
    <w:pPr>
      <w:suppressAutoHyphens/>
      <w:spacing w:before="120" w:after="120" w:line="100" w:lineRule="atLeast"/>
    </w:pPr>
    <w:rPr>
      <w:rFonts w:ascii="Lucida Grande" w:eastAsia="ヒラギノ角ゴ Pro W3" w:hAnsi="Lucida Grande" w:cs="Times New Roman"/>
      <w:color w:val="000000"/>
      <w:kern w:val="1"/>
      <w:sz w:val="24"/>
      <w:lang w:val="pt-PT"/>
    </w:rPr>
  </w:style>
  <w:style w:type="paragraph" w:customStyle="1" w:styleId="NumberedParas">
    <w:name w:val="Numbered Paras"/>
    <w:basedOn w:val="Normal"/>
    <w:rsid w:val="00801D0C"/>
    <w:pPr>
      <w:numPr>
        <w:numId w:val="3"/>
      </w:numPr>
      <w:spacing w:before="0" w:after="0" w:line="240" w:lineRule="auto"/>
    </w:pPr>
    <w:rPr>
      <w:rFonts w:ascii="Times New Roman" w:hAnsi="Times New Roman" w:cs="Times New Roman"/>
      <w:noProof/>
      <w:sz w:val="24"/>
    </w:rPr>
  </w:style>
  <w:style w:type="character" w:customStyle="1" w:styleId="Geneva9Char1">
    <w:name w:val="Geneva 9 Char1"/>
    <w:aliases w:val="Font: Geneva 9 Char1,Boston 10 Char1,f Char1,single space Char1,Footnote Char1,otnote Text Char1,ft Char1,Footnote Text Char Char1,DNV-FT Char1,fn Char1,ADB Char1,Fußnote Char1,WB-Fußnotentext Char1,FOOTNOTES Char"/>
    <w:basedOn w:val="DefaultParagraphFont"/>
    <w:locked/>
    <w:rsid w:val="0065770A"/>
    <w:rPr>
      <w:rFonts w:eastAsia="Batang"/>
      <w:lang w:val="en-GB" w:eastAsia="ko-KR" w:bidi="ar-SA"/>
    </w:rPr>
  </w:style>
  <w:style w:type="character" w:customStyle="1" w:styleId="apple-style-span">
    <w:name w:val="apple-style-span"/>
    <w:basedOn w:val="DefaultParagraphFont"/>
    <w:rsid w:val="00787487"/>
  </w:style>
  <w:style w:type="character" w:customStyle="1" w:styleId="a1">
    <w:name w:val="a"/>
    <w:basedOn w:val="DefaultParagraphFont"/>
    <w:rsid w:val="007250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able of figures" w:locked="1" w:uiPriority="99"/>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18350E"/>
    <w:pPr>
      <w:spacing w:before="200" w:after="200" w:line="276" w:lineRule="auto"/>
      <w:jc w:val="both"/>
    </w:pPr>
    <w:rPr>
      <w:rFonts w:eastAsia="Times New Roman"/>
      <w:sz w:val="22"/>
      <w:szCs w:val="22"/>
    </w:rPr>
  </w:style>
  <w:style w:type="paragraph" w:styleId="Heading1">
    <w:name w:val="heading 1"/>
    <w:basedOn w:val="Normal"/>
    <w:next w:val="Normal"/>
    <w:link w:val="Heading1Char1"/>
    <w:qFormat/>
    <w:rsid w:val="006357A1"/>
    <w:pPr>
      <w:numPr>
        <w:numId w:val="1"/>
      </w:numPr>
      <w:shd w:val="clear" w:color="auto" w:fill="4F81BD"/>
      <w:spacing w:after="0"/>
      <w:outlineLvl w:val="0"/>
    </w:pPr>
    <w:rPr>
      <w:rFonts w:cs="Times New Roman"/>
      <w:b/>
      <w:bCs/>
      <w:caps/>
      <w:color w:val="FFFFFF"/>
      <w:spacing w:val="15"/>
      <w:sz w:val="20"/>
      <w:szCs w:val="20"/>
      <w:lang w:eastAsia="ko-KR"/>
    </w:rPr>
  </w:style>
  <w:style w:type="paragraph" w:styleId="Heading2">
    <w:name w:val="heading 2"/>
    <w:aliases w:val="Header 2"/>
    <w:basedOn w:val="Normal"/>
    <w:next w:val="Normal"/>
    <w:link w:val="Heading2Char"/>
    <w:uiPriority w:val="9"/>
    <w:qFormat/>
    <w:rsid w:val="006357A1"/>
    <w:pPr>
      <w:numPr>
        <w:ilvl w:val="1"/>
        <w:numId w:val="1"/>
      </w:numPr>
      <w:pBdr>
        <w:top w:val="single" w:sz="24" w:space="0" w:color="C6D9F1"/>
        <w:left w:val="single" w:sz="24" w:space="0" w:color="C6D9F1"/>
        <w:bottom w:val="single" w:sz="24" w:space="0" w:color="C6D9F1"/>
        <w:right w:val="single" w:sz="24" w:space="0" w:color="C6D9F1"/>
      </w:pBdr>
      <w:shd w:val="clear" w:color="auto" w:fill="C6D9F1"/>
      <w:spacing w:after="0"/>
      <w:outlineLvl w:val="1"/>
    </w:pPr>
    <w:rPr>
      <w:rFonts w:cs="Times New Roman"/>
      <w:b/>
      <w:caps/>
      <w:spacing w:val="15"/>
      <w:sz w:val="20"/>
      <w:szCs w:val="20"/>
      <w:lang w:eastAsia="ko-KR"/>
    </w:rPr>
  </w:style>
  <w:style w:type="paragraph" w:styleId="Heading3">
    <w:name w:val="heading 3"/>
    <w:basedOn w:val="Normal"/>
    <w:next w:val="Normal"/>
    <w:link w:val="Heading3Char"/>
    <w:autoRedefine/>
    <w:qFormat/>
    <w:rsid w:val="00D22154"/>
    <w:pPr>
      <w:numPr>
        <w:ilvl w:val="2"/>
        <w:numId w:val="1"/>
      </w:numPr>
      <w:pBdr>
        <w:top w:val="single" w:sz="6" w:space="2" w:color="4F6228"/>
        <w:left w:val="single" w:sz="6" w:space="2" w:color="4F6228"/>
      </w:pBdr>
      <w:spacing w:before="0" w:after="0" w:line="240" w:lineRule="auto"/>
      <w:outlineLvl w:val="2"/>
    </w:pPr>
    <w:rPr>
      <w:rFonts w:cs="Times New Roman"/>
      <w:b/>
      <w:caps/>
      <w:color w:val="76923C"/>
      <w:spacing w:val="15"/>
      <w:sz w:val="20"/>
      <w:szCs w:val="20"/>
      <w:lang w:eastAsia="ko-KR"/>
    </w:rPr>
  </w:style>
  <w:style w:type="paragraph" w:styleId="Heading4">
    <w:name w:val="heading 4"/>
    <w:basedOn w:val="Normal"/>
    <w:next w:val="Normal"/>
    <w:link w:val="Heading4Char"/>
    <w:qFormat/>
    <w:rsid w:val="006357A1"/>
    <w:pPr>
      <w:numPr>
        <w:ilvl w:val="3"/>
        <w:numId w:val="1"/>
      </w:numPr>
      <w:pBdr>
        <w:top w:val="dotted" w:sz="6" w:space="2" w:color="4F81BD"/>
        <w:left w:val="dotted" w:sz="6" w:space="2" w:color="4F81BD"/>
      </w:pBdr>
      <w:spacing w:before="300" w:after="0"/>
      <w:outlineLvl w:val="3"/>
    </w:pPr>
    <w:rPr>
      <w:rFonts w:cs="Times New Roman"/>
      <w:b/>
      <w:caps/>
      <w:color w:val="365F91"/>
      <w:spacing w:val="10"/>
      <w:sz w:val="20"/>
      <w:szCs w:val="20"/>
      <w:lang w:eastAsia="ko-KR"/>
    </w:rPr>
  </w:style>
  <w:style w:type="paragraph" w:styleId="Heading5">
    <w:name w:val="heading 5"/>
    <w:basedOn w:val="Normal"/>
    <w:next w:val="Normal"/>
    <w:link w:val="Heading5Char"/>
    <w:qFormat/>
    <w:rsid w:val="006357A1"/>
    <w:pPr>
      <w:numPr>
        <w:ilvl w:val="4"/>
        <w:numId w:val="1"/>
      </w:numPr>
      <w:pBdr>
        <w:bottom w:val="single" w:sz="6" w:space="1" w:color="4F81BD"/>
      </w:pBdr>
      <w:spacing w:before="300" w:after="0"/>
      <w:outlineLvl w:val="4"/>
    </w:pPr>
    <w:rPr>
      <w:rFonts w:cs="Times New Roman"/>
      <w:caps/>
      <w:color w:val="365F91"/>
      <w:spacing w:val="10"/>
      <w:sz w:val="20"/>
      <w:szCs w:val="20"/>
      <w:lang w:eastAsia="ko-KR"/>
    </w:rPr>
  </w:style>
  <w:style w:type="paragraph" w:styleId="Heading6">
    <w:name w:val="heading 6"/>
    <w:basedOn w:val="Normal"/>
    <w:next w:val="Normal"/>
    <w:link w:val="Heading6Char"/>
    <w:qFormat/>
    <w:rsid w:val="006357A1"/>
    <w:pPr>
      <w:numPr>
        <w:ilvl w:val="5"/>
        <w:numId w:val="1"/>
      </w:numPr>
      <w:pBdr>
        <w:bottom w:val="dotted" w:sz="6" w:space="1" w:color="4F81BD"/>
      </w:pBdr>
      <w:spacing w:before="300" w:after="0"/>
      <w:outlineLvl w:val="5"/>
    </w:pPr>
    <w:rPr>
      <w:rFonts w:cs="Times New Roman"/>
      <w:caps/>
      <w:color w:val="365F91"/>
      <w:spacing w:val="10"/>
      <w:sz w:val="20"/>
      <w:szCs w:val="20"/>
      <w:lang w:eastAsia="ko-KR"/>
    </w:rPr>
  </w:style>
  <w:style w:type="paragraph" w:styleId="Heading7">
    <w:name w:val="heading 7"/>
    <w:aliases w:val="Table Text style"/>
    <w:basedOn w:val="Normal"/>
    <w:next w:val="Normal"/>
    <w:link w:val="Heading7Char"/>
    <w:qFormat/>
    <w:rsid w:val="006357A1"/>
    <w:pPr>
      <w:numPr>
        <w:ilvl w:val="6"/>
        <w:numId w:val="1"/>
      </w:numPr>
      <w:spacing w:before="300" w:after="0"/>
      <w:outlineLvl w:val="6"/>
    </w:pPr>
    <w:rPr>
      <w:rFonts w:cs="Times New Roman"/>
      <w:caps/>
      <w:color w:val="365F91"/>
      <w:spacing w:val="10"/>
      <w:sz w:val="20"/>
      <w:szCs w:val="20"/>
      <w:lang w:eastAsia="ko-KR"/>
    </w:rPr>
  </w:style>
  <w:style w:type="paragraph" w:styleId="Heading8">
    <w:name w:val="heading 8"/>
    <w:basedOn w:val="Normal"/>
    <w:next w:val="Normal"/>
    <w:link w:val="Heading8Char"/>
    <w:qFormat/>
    <w:rsid w:val="006357A1"/>
    <w:pPr>
      <w:numPr>
        <w:ilvl w:val="7"/>
        <w:numId w:val="1"/>
      </w:numPr>
      <w:spacing w:before="300" w:after="0"/>
      <w:outlineLvl w:val="7"/>
    </w:pPr>
    <w:rPr>
      <w:rFonts w:cs="Times New Roman"/>
      <w:caps/>
      <w:spacing w:val="10"/>
      <w:sz w:val="18"/>
      <w:szCs w:val="18"/>
      <w:lang w:eastAsia="ko-KR"/>
    </w:rPr>
  </w:style>
  <w:style w:type="paragraph" w:styleId="Heading9">
    <w:name w:val="heading 9"/>
    <w:basedOn w:val="Normal"/>
    <w:next w:val="Normal"/>
    <w:link w:val="Heading9Char"/>
    <w:qFormat/>
    <w:rsid w:val="006357A1"/>
    <w:pPr>
      <w:numPr>
        <w:ilvl w:val="8"/>
        <w:numId w:val="1"/>
      </w:numPr>
      <w:spacing w:before="300" w:after="0"/>
      <w:outlineLvl w:val="8"/>
    </w:pPr>
    <w:rPr>
      <w:rFonts w:cs="Times New Roman"/>
      <w:i/>
      <w:iCs/>
      <w:caps/>
      <w:spacing w:val="10"/>
      <w:sz w:val="18"/>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C15FFF"/>
    <w:rPr>
      <w:b/>
      <w:caps/>
      <w:color w:val="FFFFFF"/>
      <w:spacing w:val="15"/>
      <w:shd w:val="clear" w:color="auto" w:fill="4F81BD"/>
    </w:rPr>
  </w:style>
  <w:style w:type="character" w:customStyle="1" w:styleId="Heading2Char">
    <w:name w:val="Heading 2 Char"/>
    <w:aliases w:val="Header 2 Char"/>
    <w:link w:val="Heading2"/>
    <w:uiPriority w:val="9"/>
    <w:locked/>
    <w:rsid w:val="006357A1"/>
    <w:rPr>
      <w:rFonts w:eastAsia="Times New Roman" w:cs="Times New Roman"/>
      <w:b/>
      <w:caps/>
      <w:spacing w:val="15"/>
      <w:shd w:val="clear" w:color="auto" w:fill="C6D9F1"/>
      <w:lang w:eastAsia="ko-KR"/>
    </w:rPr>
  </w:style>
  <w:style w:type="character" w:customStyle="1" w:styleId="Heading3Char">
    <w:name w:val="Heading 3 Char"/>
    <w:link w:val="Heading3"/>
    <w:locked/>
    <w:rsid w:val="00D22154"/>
    <w:rPr>
      <w:rFonts w:eastAsia="Times New Roman" w:cs="Times New Roman"/>
      <w:b/>
      <w:caps/>
      <w:color w:val="76923C"/>
      <w:spacing w:val="15"/>
      <w:lang w:eastAsia="ko-KR"/>
    </w:rPr>
  </w:style>
  <w:style w:type="character" w:customStyle="1" w:styleId="Heading4Char">
    <w:name w:val="Heading 4 Char"/>
    <w:link w:val="Heading4"/>
    <w:locked/>
    <w:rsid w:val="006357A1"/>
    <w:rPr>
      <w:rFonts w:eastAsia="Times New Roman" w:cs="Times New Roman"/>
      <w:b/>
      <w:caps/>
      <w:color w:val="365F91"/>
      <w:spacing w:val="10"/>
      <w:lang w:eastAsia="ko-KR"/>
    </w:rPr>
  </w:style>
  <w:style w:type="paragraph" w:customStyle="1" w:styleId="LightShading-Accent21">
    <w:name w:val="Light Shading - Accent 21"/>
    <w:basedOn w:val="Normal"/>
    <w:next w:val="Normal"/>
    <w:link w:val="LightShading-Accent2Char"/>
    <w:qFormat/>
    <w:rsid w:val="0018350E"/>
    <w:pPr>
      <w:pBdr>
        <w:top w:val="single" w:sz="4" w:space="10" w:color="4F81BD"/>
        <w:left w:val="single" w:sz="4" w:space="10" w:color="4F81BD"/>
      </w:pBdr>
      <w:spacing w:after="0"/>
      <w:ind w:left="1296" w:right="1152"/>
    </w:pPr>
    <w:rPr>
      <w:rFonts w:cs="Times New Roman"/>
      <w:i/>
      <w:iCs/>
      <w:color w:val="4F81BD"/>
      <w:sz w:val="20"/>
      <w:szCs w:val="20"/>
      <w:lang w:eastAsia="ko-KR"/>
    </w:rPr>
  </w:style>
  <w:style w:type="character" w:customStyle="1" w:styleId="LightShading-Accent2Char">
    <w:name w:val="Light Shading - Accent 2 Char"/>
    <w:link w:val="LightShading-Accent21"/>
    <w:locked/>
    <w:rsid w:val="0018350E"/>
    <w:rPr>
      <w:i/>
      <w:color w:val="4F81BD"/>
      <w:sz w:val="20"/>
    </w:rPr>
  </w:style>
  <w:style w:type="paragraph" w:styleId="BalloonText">
    <w:name w:val="Balloon Text"/>
    <w:basedOn w:val="Normal"/>
    <w:link w:val="BalloonTextChar"/>
    <w:semiHidden/>
    <w:rsid w:val="00603E6B"/>
    <w:pPr>
      <w:spacing w:before="0" w:after="0" w:line="240" w:lineRule="auto"/>
    </w:pPr>
    <w:rPr>
      <w:rFonts w:ascii="Tahoma" w:hAnsi="Tahoma" w:cs="Times New Roman"/>
      <w:sz w:val="16"/>
      <w:szCs w:val="16"/>
      <w:lang w:eastAsia="ko-KR"/>
    </w:rPr>
  </w:style>
  <w:style w:type="character" w:customStyle="1" w:styleId="BalloonTextChar">
    <w:name w:val="Balloon Text Char"/>
    <w:link w:val="BalloonText"/>
    <w:semiHidden/>
    <w:locked/>
    <w:rsid w:val="00603E6B"/>
    <w:rPr>
      <w:rFonts w:ascii="Tahoma" w:hAnsi="Tahoma"/>
      <w:sz w:val="16"/>
    </w:rPr>
  </w:style>
  <w:style w:type="character" w:styleId="Hyperlink">
    <w:name w:val="Hyperlink"/>
    <w:rsid w:val="00603E6B"/>
    <w:rPr>
      <w:color w:val="0000FF"/>
      <w:u w:val="single"/>
    </w:rPr>
  </w:style>
  <w:style w:type="character" w:customStyle="1" w:styleId="Heading1Char1">
    <w:name w:val="Heading 1 Char1"/>
    <w:link w:val="Heading1"/>
    <w:locked/>
    <w:rsid w:val="006357A1"/>
    <w:rPr>
      <w:rFonts w:eastAsia="Times New Roman" w:cs="Times New Roman"/>
      <w:b/>
      <w:bCs/>
      <w:caps/>
      <w:color w:val="FFFFFF"/>
      <w:spacing w:val="15"/>
      <w:shd w:val="clear" w:color="auto" w:fill="4F81BD"/>
      <w:lang w:eastAsia="ko-KR"/>
    </w:rPr>
  </w:style>
  <w:style w:type="character" w:customStyle="1" w:styleId="Heading5Char">
    <w:name w:val="Heading 5 Char"/>
    <w:link w:val="Heading5"/>
    <w:locked/>
    <w:rsid w:val="006357A1"/>
    <w:rPr>
      <w:rFonts w:eastAsia="Times New Roman" w:cs="Times New Roman"/>
      <w:caps/>
      <w:color w:val="365F91"/>
      <w:spacing w:val="10"/>
      <w:lang w:eastAsia="ko-KR"/>
    </w:rPr>
  </w:style>
  <w:style w:type="character" w:customStyle="1" w:styleId="Heading6Char">
    <w:name w:val="Heading 6 Char"/>
    <w:link w:val="Heading6"/>
    <w:locked/>
    <w:rsid w:val="006357A1"/>
    <w:rPr>
      <w:rFonts w:eastAsia="Times New Roman" w:cs="Times New Roman"/>
      <w:caps/>
      <w:color w:val="365F91"/>
      <w:spacing w:val="10"/>
      <w:lang w:eastAsia="ko-KR"/>
    </w:rPr>
  </w:style>
  <w:style w:type="character" w:customStyle="1" w:styleId="Heading7Char">
    <w:name w:val="Heading 7 Char"/>
    <w:aliases w:val="Table Text style Char"/>
    <w:link w:val="Heading7"/>
    <w:locked/>
    <w:rsid w:val="006357A1"/>
    <w:rPr>
      <w:rFonts w:eastAsia="Times New Roman" w:cs="Times New Roman"/>
      <w:caps/>
      <w:color w:val="365F91"/>
      <w:spacing w:val="10"/>
      <w:lang w:eastAsia="ko-KR"/>
    </w:rPr>
  </w:style>
  <w:style w:type="character" w:customStyle="1" w:styleId="Heading8Char">
    <w:name w:val="Heading 8 Char"/>
    <w:link w:val="Heading8"/>
    <w:locked/>
    <w:rsid w:val="006357A1"/>
    <w:rPr>
      <w:rFonts w:eastAsia="Times New Roman" w:cs="Times New Roman"/>
      <w:caps/>
      <w:spacing w:val="10"/>
      <w:sz w:val="18"/>
      <w:szCs w:val="18"/>
      <w:lang w:eastAsia="ko-KR"/>
    </w:rPr>
  </w:style>
  <w:style w:type="character" w:customStyle="1" w:styleId="Heading9Char">
    <w:name w:val="Heading 9 Char"/>
    <w:link w:val="Heading9"/>
    <w:locked/>
    <w:rsid w:val="006357A1"/>
    <w:rPr>
      <w:rFonts w:eastAsia="Times New Roman" w:cs="Times New Roman"/>
      <w:i/>
      <w:iCs/>
      <w:caps/>
      <w:spacing w:val="10"/>
      <w:sz w:val="18"/>
      <w:szCs w:val="18"/>
      <w:lang w:eastAsia="ko-KR"/>
    </w:rPr>
  </w:style>
  <w:style w:type="paragraph" w:styleId="TOC1">
    <w:name w:val="toc 1"/>
    <w:basedOn w:val="Normal"/>
    <w:next w:val="Normal"/>
    <w:link w:val="TOC1Char"/>
    <w:autoRedefine/>
    <w:uiPriority w:val="39"/>
    <w:rsid w:val="00A23176"/>
    <w:pPr>
      <w:tabs>
        <w:tab w:val="left" w:pos="440"/>
        <w:tab w:val="right" w:leader="dot" w:pos="9016"/>
      </w:tabs>
      <w:spacing w:before="120" w:after="120"/>
      <w:jc w:val="left"/>
    </w:pPr>
    <w:rPr>
      <w:rFonts w:cs="Times New Roman"/>
      <w:b/>
      <w:bCs/>
      <w:caps/>
      <w:noProof/>
      <w:sz w:val="20"/>
      <w:szCs w:val="20"/>
      <w:lang w:val="en-ZA" w:eastAsia="ko-KR"/>
    </w:rPr>
  </w:style>
  <w:style w:type="character" w:customStyle="1" w:styleId="TOC1Char">
    <w:name w:val="TOC 1 Char"/>
    <w:link w:val="TOC1"/>
    <w:locked/>
    <w:rsid w:val="00A23176"/>
    <w:rPr>
      <w:b/>
      <w:caps/>
      <w:noProof/>
      <w:lang w:val="en-ZA"/>
    </w:rPr>
  </w:style>
  <w:style w:type="paragraph" w:styleId="TOC2">
    <w:name w:val="toc 2"/>
    <w:basedOn w:val="Normal"/>
    <w:next w:val="Normal"/>
    <w:autoRedefine/>
    <w:uiPriority w:val="39"/>
    <w:rsid w:val="0018350E"/>
    <w:pPr>
      <w:spacing w:before="0" w:after="0"/>
      <w:ind w:left="220"/>
      <w:jc w:val="left"/>
    </w:pPr>
    <w:rPr>
      <w:smallCaps/>
      <w:sz w:val="20"/>
      <w:szCs w:val="20"/>
    </w:rPr>
  </w:style>
  <w:style w:type="paragraph" w:styleId="TOC3">
    <w:name w:val="toc 3"/>
    <w:basedOn w:val="Normal"/>
    <w:next w:val="Normal"/>
    <w:autoRedefine/>
    <w:uiPriority w:val="39"/>
    <w:rsid w:val="0018350E"/>
    <w:pPr>
      <w:spacing w:before="0" w:after="0"/>
      <w:ind w:left="440"/>
      <w:jc w:val="left"/>
    </w:pPr>
    <w:rPr>
      <w:i/>
      <w:iCs/>
      <w:sz w:val="20"/>
      <w:szCs w:val="20"/>
    </w:rPr>
  </w:style>
  <w:style w:type="paragraph" w:styleId="Caption">
    <w:name w:val="caption"/>
    <w:basedOn w:val="Normal"/>
    <w:next w:val="Normal"/>
    <w:autoRedefine/>
    <w:qFormat/>
    <w:rsid w:val="00E7110D"/>
    <w:pPr>
      <w:framePr w:hSpace="181" w:vSpace="181" w:wrap="around" w:vAnchor="text" w:hAnchor="text" w:y="1"/>
      <w:spacing w:before="0" w:after="0" w:line="240" w:lineRule="auto"/>
      <w:suppressOverlap/>
    </w:pPr>
    <w:rPr>
      <w:rFonts w:ascii="Garamond" w:hAnsi="Garamond"/>
      <w:b/>
      <w:bCs/>
      <w:szCs w:val="24"/>
    </w:rPr>
  </w:style>
  <w:style w:type="paragraph" w:styleId="TableofFigures">
    <w:name w:val="table of figures"/>
    <w:aliases w:val="Ouote"/>
    <w:basedOn w:val="ColorfulGrid-Accent11"/>
    <w:next w:val="ColorfulGrid-Accent11"/>
    <w:autoRedefine/>
    <w:uiPriority w:val="99"/>
    <w:rsid w:val="00F63FEC"/>
    <w:pPr>
      <w:tabs>
        <w:tab w:val="right" w:leader="dot" w:pos="9016"/>
      </w:tabs>
      <w:spacing w:before="0" w:after="0"/>
      <w:ind w:left="440" w:hanging="440"/>
      <w:jc w:val="left"/>
    </w:pPr>
    <w:rPr>
      <w:rFonts w:ascii="Garamond" w:hAnsi="Garamond"/>
      <w:i w:val="0"/>
      <w:iCs w:val="0"/>
      <w:smallCaps/>
      <w:noProof/>
      <w:sz w:val="20"/>
    </w:rPr>
  </w:style>
  <w:style w:type="paragraph" w:customStyle="1" w:styleId="ColorfulGrid-Accent11">
    <w:name w:val="Colorful Grid - Accent 11"/>
    <w:basedOn w:val="Normal"/>
    <w:next w:val="Normal"/>
    <w:link w:val="ColorfulGrid-Accent1Char"/>
    <w:qFormat/>
    <w:rsid w:val="0018350E"/>
    <w:pPr>
      <w:ind w:left="720"/>
    </w:pPr>
    <w:rPr>
      <w:rFonts w:cs="Times New Roman"/>
      <w:i/>
      <w:iCs/>
      <w:szCs w:val="20"/>
      <w:lang w:eastAsia="ko-KR"/>
    </w:rPr>
  </w:style>
  <w:style w:type="character" w:customStyle="1" w:styleId="ColorfulGrid-Accent1Char">
    <w:name w:val="Colorful Grid - Accent 1 Char"/>
    <w:link w:val="ColorfulGrid-Accent11"/>
    <w:locked/>
    <w:rsid w:val="0018350E"/>
    <w:rPr>
      <w:i/>
      <w:sz w:val="22"/>
    </w:rPr>
  </w:style>
  <w:style w:type="paragraph" w:styleId="Title">
    <w:name w:val="Title"/>
    <w:basedOn w:val="Normal"/>
    <w:next w:val="Normal"/>
    <w:link w:val="TitleChar"/>
    <w:qFormat/>
    <w:rsid w:val="0018350E"/>
    <w:pPr>
      <w:spacing w:before="720"/>
    </w:pPr>
    <w:rPr>
      <w:rFonts w:cs="Times New Roman"/>
      <w:caps/>
      <w:color w:val="4F81BD"/>
      <w:spacing w:val="10"/>
      <w:kern w:val="28"/>
      <w:sz w:val="52"/>
      <w:szCs w:val="52"/>
      <w:lang w:eastAsia="ko-KR"/>
    </w:rPr>
  </w:style>
  <w:style w:type="character" w:customStyle="1" w:styleId="TitleChar">
    <w:name w:val="Title Char"/>
    <w:link w:val="Title"/>
    <w:locked/>
    <w:rsid w:val="0018350E"/>
    <w:rPr>
      <w:caps/>
      <w:color w:val="4F81BD"/>
      <w:spacing w:val="10"/>
      <w:kern w:val="28"/>
      <w:sz w:val="52"/>
    </w:rPr>
  </w:style>
  <w:style w:type="paragraph" w:styleId="Subtitle">
    <w:name w:val="Subtitle"/>
    <w:basedOn w:val="Normal"/>
    <w:next w:val="Normal"/>
    <w:link w:val="SubtitleChar"/>
    <w:qFormat/>
    <w:rsid w:val="0018350E"/>
    <w:pPr>
      <w:spacing w:after="1000" w:line="240" w:lineRule="auto"/>
    </w:pPr>
    <w:rPr>
      <w:rFonts w:cs="Times New Roman"/>
      <w:caps/>
      <w:color w:val="595959"/>
      <w:spacing w:val="10"/>
      <w:sz w:val="24"/>
      <w:szCs w:val="24"/>
      <w:lang w:eastAsia="ko-KR"/>
    </w:rPr>
  </w:style>
  <w:style w:type="character" w:customStyle="1" w:styleId="SubtitleChar">
    <w:name w:val="Subtitle Char"/>
    <w:link w:val="Subtitle"/>
    <w:locked/>
    <w:rsid w:val="0018350E"/>
    <w:rPr>
      <w:caps/>
      <w:color w:val="595959"/>
      <w:spacing w:val="10"/>
      <w:sz w:val="24"/>
    </w:rPr>
  </w:style>
  <w:style w:type="character" w:styleId="Strong">
    <w:name w:val="Strong"/>
    <w:qFormat/>
    <w:rsid w:val="0018350E"/>
    <w:rPr>
      <w:b/>
    </w:rPr>
  </w:style>
  <w:style w:type="character" w:styleId="Emphasis">
    <w:name w:val="Emphasis"/>
    <w:qFormat/>
    <w:rsid w:val="0018350E"/>
    <w:rPr>
      <w:caps/>
      <w:color w:val="243F60"/>
      <w:spacing w:val="5"/>
    </w:rPr>
  </w:style>
  <w:style w:type="paragraph" w:customStyle="1" w:styleId="NoSpacing1">
    <w:name w:val="No Spacing1"/>
    <w:basedOn w:val="Normal"/>
    <w:link w:val="NoSpacingChar"/>
    <w:qFormat/>
    <w:rsid w:val="0018350E"/>
    <w:pPr>
      <w:spacing w:before="0" w:after="0" w:line="240" w:lineRule="auto"/>
    </w:pPr>
    <w:rPr>
      <w:rFonts w:cs="Times New Roman"/>
      <w:sz w:val="20"/>
      <w:szCs w:val="20"/>
      <w:lang w:eastAsia="ko-KR"/>
    </w:rPr>
  </w:style>
  <w:style w:type="character" w:customStyle="1" w:styleId="NoSpacingChar">
    <w:name w:val="No Spacing Char"/>
    <w:link w:val="NoSpacing1"/>
    <w:locked/>
    <w:rsid w:val="0018350E"/>
    <w:rPr>
      <w:sz w:val="20"/>
    </w:rPr>
  </w:style>
  <w:style w:type="paragraph" w:customStyle="1" w:styleId="ColorfulList-Accent11">
    <w:name w:val="Colorful List - Accent 11"/>
    <w:basedOn w:val="Normal"/>
    <w:uiPriority w:val="34"/>
    <w:qFormat/>
    <w:rsid w:val="0018350E"/>
    <w:pPr>
      <w:ind w:left="720"/>
    </w:pPr>
  </w:style>
  <w:style w:type="character" w:customStyle="1" w:styleId="SubtleEmphasis1">
    <w:name w:val="Subtle Emphasis1"/>
    <w:qFormat/>
    <w:rsid w:val="0018350E"/>
    <w:rPr>
      <w:i/>
      <w:color w:val="243F60"/>
    </w:rPr>
  </w:style>
  <w:style w:type="character" w:customStyle="1" w:styleId="IntenseEmphasis1">
    <w:name w:val="Intense Emphasis1"/>
    <w:qFormat/>
    <w:rsid w:val="0018350E"/>
    <w:rPr>
      <w:b/>
      <w:caps/>
      <w:color w:val="243F60"/>
      <w:spacing w:val="10"/>
    </w:rPr>
  </w:style>
  <w:style w:type="character" w:customStyle="1" w:styleId="SubtleReference1">
    <w:name w:val="Subtle Reference1"/>
    <w:qFormat/>
    <w:rsid w:val="0018350E"/>
    <w:rPr>
      <w:b/>
      <w:color w:val="4F81BD"/>
    </w:rPr>
  </w:style>
  <w:style w:type="character" w:customStyle="1" w:styleId="IntenseReference1">
    <w:name w:val="Intense Reference1"/>
    <w:qFormat/>
    <w:rsid w:val="0018350E"/>
    <w:rPr>
      <w:b/>
      <w:i/>
      <w:caps/>
      <w:color w:val="4F81BD"/>
    </w:rPr>
  </w:style>
  <w:style w:type="character" w:customStyle="1" w:styleId="BookTitle1">
    <w:name w:val="Book Title1"/>
    <w:qFormat/>
    <w:rsid w:val="0018350E"/>
    <w:rPr>
      <w:b/>
      <w:i/>
      <w:spacing w:val="9"/>
    </w:rPr>
  </w:style>
  <w:style w:type="paragraph" w:customStyle="1" w:styleId="TOCHeading1">
    <w:name w:val="TOC Heading1"/>
    <w:basedOn w:val="Heading1"/>
    <w:next w:val="Normal"/>
    <w:qFormat/>
    <w:rsid w:val="0018350E"/>
    <w:pPr>
      <w:numPr>
        <w:numId w:val="0"/>
      </w:numPr>
      <w:outlineLvl w:val="9"/>
    </w:pPr>
    <w:rPr>
      <w:rFonts w:ascii="Georgia" w:hAnsi="Georgia" w:cs="Georgia"/>
    </w:rPr>
  </w:style>
  <w:style w:type="character" w:styleId="CommentReference">
    <w:name w:val="annotation reference"/>
    <w:uiPriority w:val="99"/>
    <w:semiHidden/>
    <w:rsid w:val="00603E6B"/>
    <w:rPr>
      <w:sz w:val="16"/>
    </w:rPr>
  </w:style>
  <w:style w:type="paragraph" w:styleId="CommentText">
    <w:name w:val="annotation text"/>
    <w:basedOn w:val="Normal"/>
    <w:link w:val="CommentTextChar"/>
    <w:uiPriority w:val="99"/>
    <w:semiHidden/>
    <w:rsid w:val="00603E6B"/>
    <w:pPr>
      <w:spacing w:line="240" w:lineRule="auto"/>
    </w:pPr>
    <w:rPr>
      <w:rFonts w:cs="Times New Roman"/>
      <w:sz w:val="20"/>
      <w:szCs w:val="20"/>
      <w:lang w:val="en-ZA" w:eastAsia="ko-KR"/>
    </w:rPr>
  </w:style>
  <w:style w:type="character" w:customStyle="1" w:styleId="CommentTextChar">
    <w:name w:val="Comment Text Char"/>
    <w:link w:val="CommentText"/>
    <w:uiPriority w:val="99"/>
    <w:locked/>
    <w:rsid w:val="00603E6B"/>
    <w:rPr>
      <w:lang w:val="en-ZA"/>
    </w:rPr>
  </w:style>
  <w:style w:type="paragraph" w:styleId="CommentSubject">
    <w:name w:val="annotation subject"/>
    <w:basedOn w:val="CommentText"/>
    <w:next w:val="CommentText"/>
    <w:link w:val="CommentSubjectChar"/>
    <w:semiHidden/>
    <w:rsid w:val="00603E6B"/>
    <w:rPr>
      <w:b/>
      <w:bCs/>
    </w:rPr>
  </w:style>
  <w:style w:type="character" w:customStyle="1" w:styleId="CommentSubjectChar">
    <w:name w:val="Comment Subject Char"/>
    <w:link w:val="CommentSubject"/>
    <w:semiHidden/>
    <w:locked/>
    <w:rsid w:val="00603E6B"/>
    <w:rPr>
      <w:b/>
      <w:lang w:val="en-ZA"/>
    </w:rPr>
  </w:style>
  <w:style w:type="paragraph" w:styleId="PlainText">
    <w:name w:val="Plain Text"/>
    <w:basedOn w:val="Normal"/>
    <w:link w:val="PlainTextChar"/>
    <w:semiHidden/>
    <w:rsid w:val="00F80EE9"/>
    <w:pPr>
      <w:spacing w:before="0" w:after="0" w:line="240" w:lineRule="auto"/>
      <w:jc w:val="left"/>
    </w:pPr>
    <w:rPr>
      <w:rFonts w:ascii="Consolas" w:eastAsia="Calibri" w:hAnsi="Consolas" w:cs="Times New Roman"/>
      <w:sz w:val="21"/>
      <w:szCs w:val="21"/>
      <w:lang w:val="en-ZA" w:eastAsia="en-ZA"/>
    </w:rPr>
  </w:style>
  <w:style w:type="character" w:customStyle="1" w:styleId="PlainTextChar">
    <w:name w:val="Plain Text Char"/>
    <w:link w:val="PlainText"/>
    <w:semiHidden/>
    <w:locked/>
    <w:rsid w:val="00F80EE9"/>
    <w:rPr>
      <w:rFonts w:ascii="Consolas" w:hAnsi="Consolas"/>
      <w:sz w:val="21"/>
      <w:lang w:val="en-ZA" w:eastAsia="en-ZA"/>
    </w:rPr>
  </w:style>
  <w:style w:type="paragraph" w:customStyle="1" w:styleId="Bibliography1">
    <w:name w:val="Bibliography1"/>
    <w:basedOn w:val="Normal"/>
    <w:next w:val="Normal"/>
    <w:rsid w:val="004B1989"/>
  </w:style>
  <w:style w:type="paragraph" w:styleId="NormalWeb">
    <w:name w:val="Normal (Web)"/>
    <w:basedOn w:val="Normal"/>
    <w:uiPriority w:val="99"/>
    <w:rsid w:val="00DC033B"/>
    <w:pPr>
      <w:spacing w:before="0" w:after="216" w:line="264" w:lineRule="atLeast"/>
      <w:jc w:val="left"/>
    </w:pPr>
    <w:rPr>
      <w:rFonts w:ascii="Times New Roman" w:hAnsi="Times New Roman" w:cs="Times New Roman"/>
      <w:sz w:val="24"/>
      <w:szCs w:val="24"/>
      <w:lang w:eastAsia="en-ZA"/>
    </w:rPr>
  </w:style>
  <w:style w:type="character" w:styleId="FollowedHyperlink">
    <w:name w:val="FollowedHyperlink"/>
    <w:semiHidden/>
    <w:rsid w:val="00CC698B"/>
    <w:rPr>
      <w:color w:val="800080"/>
      <w:u w:val="single"/>
    </w:rPr>
  </w:style>
  <w:style w:type="paragraph" w:styleId="TOC4">
    <w:name w:val="toc 4"/>
    <w:basedOn w:val="Normal"/>
    <w:next w:val="Normal"/>
    <w:autoRedefine/>
    <w:semiHidden/>
    <w:rsid w:val="00354817"/>
    <w:pPr>
      <w:spacing w:before="0" w:after="0"/>
      <w:ind w:left="660"/>
      <w:jc w:val="left"/>
    </w:pPr>
    <w:rPr>
      <w:sz w:val="20"/>
    </w:rPr>
  </w:style>
  <w:style w:type="paragraph" w:styleId="TOC5">
    <w:name w:val="toc 5"/>
    <w:basedOn w:val="Normal"/>
    <w:next w:val="Normal"/>
    <w:autoRedefine/>
    <w:semiHidden/>
    <w:rsid w:val="00354817"/>
    <w:pPr>
      <w:spacing w:before="0" w:after="0"/>
      <w:ind w:left="880"/>
      <w:jc w:val="left"/>
    </w:pPr>
    <w:rPr>
      <w:sz w:val="20"/>
    </w:rPr>
  </w:style>
  <w:style w:type="paragraph" w:styleId="TOC6">
    <w:name w:val="toc 6"/>
    <w:basedOn w:val="Normal"/>
    <w:next w:val="Normal"/>
    <w:autoRedefine/>
    <w:semiHidden/>
    <w:rsid w:val="00354817"/>
    <w:pPr>
      <w:spacing w:before="0" w:after="0"/>
      <w:ind w:left="1100"/>
      <w:jc w:val="left"/>
    </w:pPr>
    <w:rPr>
      <w:sz w:val="20"/>
    </w:rPr>
  </w:style>
  <w:style w:type="paragraph" w:styleId="TOC7">
    <w:name w:val="toc 7"/>
    <w:basedOn w:val="Normal"/>
    <w:next w:val="Normal"/>
    <w:autoRedefine/>
    <w:semiHidden/>
    <w:rsid w:val="00354817"/>
    <w:pPr>
      <w:spacing w:before="0" w:after="0"/>
      <w:ind w:left="1320"/>
      <w:jc w:val="left"/>
    </w:pPr>
    <w:rPr>
      <w:sz w:val="20"/>
    </w:rPr>
  </w:style>
  <w:style w:type="paragraph" w:styleId="TOC8">
    <w:name w:val="toc 8"/>
    <w:basedOn w:val="Normal"/>
    <w:next w:val="Normal"/>
    <w:autoRedefine/>
    <w:semiHidden/>
    <w:rsid w:val="00354817"/>
    <w:pPr>
      <w:spacing w:before="0" w:after="0"/>
      <w:ind w:left="1540"/>
      <w:jc w:val="left"/>
    </w:pPr>
    <w:rPr>
      <w:sz w:val="20"/>
    </w:rPr>
  </w:style>
  <w:style w:type="paragraph" w:styleId="TOC9">
    <w:name w:val="toc 9"/>
    <w:basedOn w:val="Normal"/>
    <w:next w:val="Normal"/>
    <w:autoRedefine/>
    <w:semiHidden/>
    <w:rsid w:val="00354817"/>
    <w:pPr>
      <w:spacing w:before="0" w:after="0"/>
      <w:ind w:left="1760"/>
      <w:jc w:val="left"/>
    </w:pPr>
    <w:rPr>
      <w:sz w:val="20"/>
    </w:rPr>
  </w:style>
  <w:style w:type="table" w:styleId="TableGrid">
    <w:name w:val="Table Grid"/>
    <w:basedOn w:val="TableNormal"/>
    <w:uiPriority w:val="59"/>
    <w:rsid w:val="00E6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paragraph" w:customStyle="1" w:styleId="Pa9">
    <w:name w:val="Pa9"/>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character" w:customStyle="1" w:styleId="A5">
    <w:name w:val="A5"/>
    <w:rsid w:val="006A11EC"/>
    <w:rPr>
      <w:color w:val="000000"/>
      <w:sz w:val="20"/>
    </w:rPr>
  </w:style>
  <w:style w:type="paragraph" w:styleId="BodyText">
    <w:name w:val="Body Text"/>
    <w:basedOn w:val="Normal"/>
    <w:link w:val="BodyTextChar"/>
    <w:rsid w:val="00BD283F"/>
    <w:pPr>
      <w:pBdr>
        <w:top w:val="double" w:sz="4" w:space="1" w:color="auto" w:shadow="1"/>
        <w:left w:val="double" w:sz="4" w:space="4" w:color="auto" w:shadow="1"/>
        <w:bottom w:val="double" w:sz="4" w:space="1" w:color="auto" w:shadow="1"/>
        <w:right w:val="double" w:sz="4" w:space="4" w:color="auto" w:shadow="1"/>
      </w:pBdr>
      <w:spacing w:before="0" w:after="0" w:line="280" w:lineRule="exact"/>
    </w:pPr>
    <w:rPr>
      <w:rFonts w:ascii="Tahoma" w:hAnsi="Tahoma" w:cs="Times New Roman"/>
      <w:sz w:val="20"/>
      <w:szCs w:val="20"/>
      <w:lang w:eastAsia="ko-KR"/>
    </w:rPr>
  </w:style>
  <w:style w:type="character" w:customStyle="1" w:styleId="BodyTextChar">
    <w:name w:val="Body Text Char"/>
    <w:link w:val="BodyText"/>
    <w:locked/>
    <w:rsid w:val="00BD283F"/>
    <w:rPr>
      <w:rFonts w:ascii="Tahoma" w:hAnsi="Tahoma"/>
    </w:rPr>
  </w:style>
  <w:style w:type="paragraph" w:styleId="Header">
    <w:name w:val="header"/>
    <w:basedOn w:val="Normal"/>
    <w:link w:val="HeaderChar"/>
    <w:rsid w:val="00B83BF7"/>
    <w:pPr>
      <w:tabs>
        <w:tab w:val="center" w:pos="4513"/>
        <w:tab w:val="right" w:pos="9026"/>
      </w:tabs>
      <w:spacing w:before="0" w:after="0" w:line="240" w:lineRule="auto"/>
    </w:pPr>
    <w:rPr>
      <w:rFonts w:cs="Times New Roman"/>
      <w:lang w:val="en-ZA" w:eastAsia="ko-KR"/>
    </w:rPr>
  </w:style>
  <w:style w:type="character" w:customStyle="1" w:styleId="HeaderChar">
    <w:name w:val="Header Char"/>
    <w:link w:val="Header"/>
    <w:locked/>
    <w:rsid w:val="00B83BF7"/>
    <w:rPr>
      <w:sz w:val="22"/>
      <w:lang w:val="en-ZA"/>
    </w:rPr>
  </w:style>
  <w:style w:type="paragraph" w:styleId="Footer">
    <w:name w:val="footer"/>
    <w:basedOn w:val="Normal"/>
    <w:link w:val="FooterChar"/>
    <w:rsid w:val="00B83BF7"/>
    <w:pPr>
      <w:tabs>
        <w:tab w:val="center" w:pos="4513"/>
        <w:tab w:val="right" w:pos="9026"/>
      </w:tabs>
      <w:spacing w:before="0" w:after="0" w:line="240" w:lineRule="auto"/>
    </w:pPr>
    <w:rPr>
      <w:rFonts w:cs="Times New Roman"/>
      <w:lang w:val="en-ZA" w:eastAsia="ko-KR"/>
    </w:rPr>
  </w:style>
  <w:style w:type="character" w:customStyle="1" w:styleId="FooterChar">
    <w:name w:val="Footer Char"/>
    <w:link w:val="Footer"/>
    <w:locked/>
    <w:rsid w:val="00B83BF7"/>
    <w:rPr>
      <w:sz w:val="22"/>
      <w:lang w:val="en-ZA"/>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OOTNOTES,ft"/>
    <w:basedOn w:val="Normal"/>
    <w:link w:val="FootnoteTextChar"/>
    <w:rsid w:val="00A36D76"/>
    <w:pPr>
      <w:spacing w:before="0" w:after="0" w:line="240" w:lineRule="auto"/>
    </w:pPr>
    <w:rPr>
      <w:rFonts w:cs="Times New Roman"/>
      <w:sz w:val="20"/>
      <w:szCs w:val="20"/>
      <w:lang w:val="en-ZA" w:eastAsia="ko-KR"/>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link w:val="FootnoteText"/>
    <w:locked/>
    <w:rsid w:val="00A36D76"/>
    <w:rPr>
      <w:lang w:val="en-ZA"/>
    </w:rPr>
  </w:style>
  <w:style w:type="character" w:styleId="FootnoteReference">
    <w:name w:val="footnote reference"/>
    <w:aliases w:val="Footnote symbol,Footnote,BVI fnr,Voetnootverwijzing,Times 10 Point,Exposant 3 Point,Appel note de bas de p,heading1,Footnote Reference1,16 Point,Superscript 6 Point,Superscript 6 Point + 11 pt,ftref,fr,Ref,de nota al pie"/>
    <w:rsid w:val="00A36D76"/>
    <w:rPr>
      <w:vertAlign w:val="superscript"/>
    </w:rPr>
  </w:style>
  <w:style w:type="paragraph" w:styleId="EndnoteText">
    <w:name w:val="endnote text"/>
    <w:basedOn w:val="Normal"/>
    <w:link w:val="EndnoteTextChar"/>
    <w:semiHidden/>
    <w:rsid w:val="00C66CE5"/>
    <w:pPr>
      <w:spacing w:before="0" w:after="0" w:line="240" w:lineRule="auto"/>
    </w:pPr>
    <w:rPr>
      <w:rFonts w:cs="Times New Roman"/>
      <w:sz w:val="20"/>
      <w:szCs w:val="20"/>
      <w:lang w:val="en-ZA" w:eastAsia="ko-KR"/>
    </w:rPr>
  </w:style>
  <w:style w:type="character" w:customStyle="1" w:styleId="EndnoteTextChar">
    <w:name w:val="Endnote Text Char"/>
    <w:link w:val="EndnoteText"/>
    <w:semiHidden/>
    <w:locked/>
    <w:rsid w:val="00C66CE5"/>
    <w:rPr>
      <w:lang w:val="en-ZA"/>
    </w:rPr>
  </w:style>
  <w:style w:type="character" w:styleId="EndnoteReference">
    <w:name w:val="endnote reference"/>
    <w:semiHidden/>
    <w:rsid w:val="00C66CE5"/>
    <w:rPr>
      <w:vertAlign w:val="superscript"/>
    </w:rPr>
  </w:style>
  <w:style w:type="paragraph" w:customStyle="1" w:styleId="stand-first-alone">
    <w:name w:val="stand-first-alone"/>
    <w:basedOn w:val="Normal"/>
    <w:rsid w:val="0078534F"/>
    <w:pPr>
      <w:spacing w:before="100" w:beforeAutospacing="1" w:after="100" w:afterAutospacing="1" w:line="240" w:lineRule="auto"/>
      <w:jc w:val="left"/>
    </w:pPr>
    <w:rPr>
      <w:rFonts w:ascii="Times New Roman" w:hAnsi="Times New Roman" w:cs="Times New Roman"/>
      <w:sz w:val="24"/>
      <w:szCs w:val="24"/>
      <w:lang w:eastAsia="en-ZA"/>
    </w:rPr>
  </w:style>
  <w:style w:type="character" w:customStyle="1" w:styleId="fbconnectbuttontext11">
    <w:name w:val="fbconnectbutton_text11"/>
    <w:rsid w:val="0078534F"/>
  </w:style>
  <w:style w:type="character" w:customStyle="1" w:styleId="fbsharecountinner5">
    <w:name w:val="fb_share_count_inner5"/>
    <w:rsid w:val="0078534F"/>
    <w:rPr>
      <w:shd w:val="clear" w:color="auto" w:fill="E8EBF2"/>
    </w:rPr>
  </w:style>
  <w:style w:type="character" w:customStyle="1" w:styleId="comment-count">
    <w:name w:val="comment-count"/>
    <w:rsid w:val="0078534F"/>
  </w:style>
  <w:style w:type="paragraph" w:customStyle="1" w:styleId="Default">
    <w:name w:val="Default"/>
    <w:rsid w:val="00056571"/>
    <w:pPr>
      <w:autoSpaceDE w:val="0"/>
      <w:autoSpaceDN w:val="0"/>
      <w:adjustRightInd w:val="0"/>
    </w:pPr>
    <w:rPr>
      <w:rFonts w:ascii="Serifa 45 Light" w:hAnsi="Serifa 45 Light" w:cs="Serifa 45 Light"/>
      <w:color w:val="000000"/>
      <w:sz w:val="24"/>
      <w:szCs w:val="24"/>
      <w:lang w:val="en-ZA"/>
    </w:rPr>
  </w:style>
  <w:style w:type="character" w:customStyle="1" w:styleId="A0">
    <w:name w:val="A0"/>
    <w:rsid w:val="00056571"/>
    <w:rPr>
      <w:b/>
      <w:color w:val="000000"/>
      <w:sz w:val="32"/>
    </w:rPr>
  </w:style>
  <w:style w:type="paragraph" w:customStyle="1" w:styleId="Pa23">
    <w:name w:val="Pa23"/>
    <w:basedOn w:val="Default"/>
    <w:next w:val="Default"/>
    <w:rsid w:val="006D0574"/>
    <w:pPr>
      <w:spacing w:line="141" w:lineRule="atLeast"/>
    </w:pPr>
    <w:rPr>
      <w:rFonts w:ascii="Serifa 55 Roman" w:hAnsi="Serifa 55 Roman" w:cs="Times New Roman"/>
      <w:color w:val="auto"/>
    </w:rPr>
  </w:style>
  <w:style w:type="character" w:customStyle="1" w:styleId="specialb1">
    <w:name w:val="specialb1"/>
    <w:rsid w:val="001906D4"/>
    <w:rPr>
      <w:b/>
      <w:color w:val="000066"/>
    </w:rPr>
  </w:style>
  <w:style w:type="character" w:customStyle="1" w:styleId="ujeditorcustom-sub-title1">
    <w:name w:val="ujeditorcustom-sub-title1"/>
    <w:rsid w:val="00B509A6"/>
    <w:rPr>
      <w:rFonts w:ascii="Arial" w:hAnsi="Arial"/>
      <w:b/>
      <w:color w:val="000000"/>
      <w:sz w:val="15"/>
    </w:rPr>
  </w:style>
  <w:style w:type="character" w:customStyle="1" w:styleId="ujeditorcustom-content1">
    <w:name w:val="ujeditorcustom-content1"/>
    <w:rsid w:val="00B509A6"/>
    <w:rPr>
      <w:rFonts w:ascii="Arial" w:hAnsi="Arial"/>
      <w:color w:val="797979"/>
      <w:sz w:val="15"/>
    </w:rPr>
  </w:style>
  <w:style w:type="character" w:customStyle="1" w:styleId="subheader1">
    <w:name w:val="subheader1"/>
    <w:rsid w:val="004731C6"/>
    <w:rPr>
      <w:rFonts w:ascii="Arial" w:hAnsi="Arial"/>
      <w:color w:val="8A6B47"/>
      <w:sz w:val="21"/>
    </w:rPr>
  </w:style>
  <w:style w:type="paragraph" w:customStyle="1" w:styleId="ColorfulShading-Accent11">
    <w:name w:val="Colorful Shading - Accent 11"/>
    <w:hidden/>
    <w:semiHidden/>
    <w:rsid w:val="00D63882"/>
    <w:rPr>
      <w:sz w:val="22"/>
      <w:szCs w:val="22"/>
      <w:lang w:val="en-ZA"/>
    </w:rPr>
  </w:style>
  <w:style w:type="paragraph" w:customStyle="1" w:styleId="Referencestyle">
    <w:name w:val="Reference style"/>
    <w:basedOn w:val="Normal"/>
    <w:rsid w:val="00162561"/>
    <w:pPr>
      <w:spacing w:before="0" w:after="0" w:line="240" w:lineRule="auto"/>
      <w:jc w:val="left"/>
    </w:pPr>
    <w:rPr>
      <w:rFonts w:ascii="Times New Roman" w:hAnsi="Times New Roman" w:cs="Times New Roman"/>
      <w:sz w:val="24"/>
      <w:szCs w:val="20"/>
    </w:rPr>
  </w:style>
  <w:style w:type="paragraph" w:styleId="BodyText3">
    <w:name w:val="Body Text 3"/>
    <w:basedOn w:val="Normal"/>
    <w:link w:val="BodyText3Char"/>
    <w:rsid w:val="005159E6"/>
    <w:pPr>
      <w:spacing w:before="0" w:after="120" w:line="240" w:lineRule="auto"/>
      <w:jc w:val="left"/>
    </w:pPr>
    <w:rPr>
      <w:rFonts w:ascii="Times New Roman" w:hAnsi="Times New Roman" w:cs="Times New Roman"/>
      <w:sz w:val="16"/>
      <w:szCs w:val="16"/>
      <w:lang w:eastAsia="it-IT"/>
    </w:rPr>
  </w:style>
  <w:style w:type="character" w:customStyle="1" w:styleId="BodyText3Char">
    <w:name w:val="Body Text 3 Char"/>
    <w:link w:val="BodyText3"/>
    <w:locked/>
    <w:rsid w:val="005159E6"/>
    <w:rPr>
      <w:rFonts w:ascii="Times New Roman" w:hAnsi="Times New Roman" w:cs="Times New Roman"/>
      <w:sz w:val="16"/>
      <w:szCs w:val="16"/>
      <w:lang w:eastAsia="it-IT"/>
    </w:rPr>
  </w:style>
  <w:style w:type="table" w:styleId="TableClassic1">
    <w:name w:val="Table Classic 1"/>
    <w:basedOn w:val="TableNormal"/>
    <w:rsid w:val="00151CB7"/>
    <w:pPr>
      <w:spacing w:before="200" w:after="200" w:line="276" w:lineRule="auto"/>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MS Gothic"/>
        <w:i/>
        <w:iCs/>
      </w:rPr>
      <w:tblPr/>
      <w:tcPr>
        <w:tcBorders>
          <w:bottom w:val="single" w:sz="6" w:space="0" w:color="000000"/>
        </w:tcBorders>
      </w:tcPr>
    </w:tblStylePr>
    <w:tblStylePr w:type="lastRow">
      <w:rPr>
        <w:rFonts w:cs="MS Gothic"/>
        <w:color w:val="auto"/>
      </w:rPr>
      <w:tblPr/>
      <w:tcPr>
        <w:tcBorders>
          <w:top w:val="single" w:sz="6" w:space="0" w:color="000000"/>
        </w:tcBorders>
      </w:tcPr>
    </w:tblStylePr>
    <w:tblStylePr w:type="firstCol">
      <w:rPr>
        <w:rFonts w:cs="MS Gothic"/>
      </w:rPr>
      <w:tblPr/>
      <w:tcPr>
        <w:tcBorders>
          <w:right w:val="single" w:sz="6" w:space="0" w:color="000000"/>
        </w:tcBorders>
      </w:tcPr>
    </w:tblStylePr>
    <w:tblStylePr w:type="neCell">
      <w:rPr>
        <w:rFonts w:cs="MS Gothic"/>
        <w:b/>
        <w:bCs/>
        <w:i w:val="0"/>
        <w:iCs w:val="0"/>
      </w:rPr>
    </w:tblStylePr>
    <w:tblStylePr w:type="swCell">
      <w:rPr>
        <w:rFonts w:cs="MS Gothic"/>
        <w:b/>
        <w:bCs/>
      </w:rPr>
    </w:tblStylePr>
  </w:style>
  <w:style w:type="table" w:styleId="Table3Deffects1">
    <w:name w:val="Table 3D effects 1"/>
    <w:basedOn w:val="TableNormal"/>
    <w:rsid w:val="00151CB7"/>
    <w:pPr>
      <w:spacing w:before="200" w:after="200" w:line="276" w:lineRule="auto"/>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rFonts w:cs="MS Gothic"/>
        <w:b/>
        <w:bCs/>
        <w:color w:val="800080"/>
      </w:rPr>
      <w:tblPr/>
      <w:tcPr>
        <w:tcBorders>
          <w:bottom w:val="single" w:sz="6" w:space="0" w:color="808080"/>
        </w:tcBorders>
      </w:tcPr>
    </w:tblStylePr>
    <w:tblStylePr w:type="lastRow">
      <w:rPr>
        <w:rFonts w:cs="MS Gothic"/>
      </w:rPr>
      <w:tblPr/>
      <w:tcPr>
        <w:tcBorders>
          <w:top w:val="single" w:sz="6" w:space="0" w:color="FFFFFF"/>
        </w:tcBorders>
      </w:tcPr>
    </w:tblStylePr>
    <w:tblStylePr w:type="firstCol">
      <w:rPr>
        <w:rFonts w:cs="MS Gothic"/>
        <w:b/>
        <w:bCs/>
      </w:rPr>
      <w:tblPr/>
      <w:tcPr>
        <w:tcBorders>
          <w:right w:val="single" w:sz="6" w:space="0" w:color="808080"/>
        </w:tcBorders>
      </w:tcPr>
    </w:tblStylePr>
    <w:tblStylePr w:type="lastCol">
      <w:rPr>
        <w:rFonts w:cs="MS Gothic"/>
      </w:rPr>
      <w:tblPr/>
      <w:tcPr>
        <w:tcBorders>
          <w:left w:val="single" w:sz="6" w:space="0" w:color="FFFFFF"/>
        </w:tcBorders>
      </w:tcPr>
    </w:tblStylePr>
    <w:tblStylePr w:type="neCell">
      <w:rPr>
        <w:rFonts w:cs="MS Gothic"/>
      </w:rPr>
      <w:tblPr/>
      <w:tcPr>
        <w:tcBorders>
          <w:left w:val="none" w:sz="0" w:space="0" w:color="auto"/>
          <w:bottom w:val="none" w:sz="0" w:space="0" w:color="auto"/>
        </w:tcBorders>
      </w:tcPr>
    </w:tblStylePr>
    <w:tblStylePr w:type="nwCell">
      <w:rPr>
        <w:rFonts w:cs="MS Gothic"/>
      </w:rPr>
      <w:tblPr/>
      <w:tcPr>
        <w:tcBorders>
          <w:bottom w:val="none" w:sz="0" w:space="0" w:color="auto"/>
          <w:right w:val="none" w:sz="0" w:space="0" w:color="auto"/>
        </w:tcBorders>
      </w:tcPr>
    </w:tblStylePr>
    <w:tblStylePr w:type="seCell">
      <w:rPr>
        <w:rFonts w:cs="MS Gothic"/>
      </w:rPr>
      <w:tblPr/>
      <w:tcPr>
        <w:tcBorders>
          <w:top w:val="none" w:sz="0" w:space="0" w:color="auto"/>
          <w:left w:val="none" w:sz="0" w:space="0" w:color="auto"/>
        </w:tcBorders>
      </w:tcPr>
    </w:tblStylePr>
    <w:tblStylePr w:type="swCell">
      <w:rPr>
        <w:rFonts w:cs="MS Gothic"/>
        <w:color w:val="000080"/>
      </w:rPr>
      <w:tblPr/>
      <w:tcPr>
        <w:tcBorders>
          <w:top w:val="none" w:sz="0" w:space="0" w:color="auto"/>
          <w:right w:val="none" w:sz="0" w:space="0" w:color="auto"/>
        </w:tcBorders>
      </w:tcPr>
    </w:tblStylePr>
  </w:style>
  <w:style w:type="table" w:styleId="TableClassic4">
    <w:name w:val="Table Classic 4"/>
    <w:basedOn w:val="TableNormal"/>
    <w:rsid w:val="00151CB7"/>
    <w:pPr>
      <w:spacing w:before="200" w:after="200" w:line="276" w:lineRule="auto"/>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MS Gothic"/>
        <w:b/>
        <w:bCs/>
        <w:i/>
        <w:iCs/>
        <w:color w:val="FFFFFF"/>
      </w:rPr>
      <w:tblPr/>
      <w:tcPr>
        <w:tcBorders>
          <w:bottom w:val="single" w:sz="6" w:space="0" w:color="000000"/>
        </w:tcBorders>
        <w:shd w:val="pct50" w:color="000080" w:fill="FFFFFF"/>
      </w:tcPr>
    </w:tblStylePr>
    <w:tblStylePr w:type="lastRow">
      <w:rPr>
        <w:rFonts w:cs="MS Gothic"/>
        <w:color w:val="000080"/>
      </w:rPr>
      <w:tblPr/>
      <w:tcPr>
        <w:tcBorders>
          <w:bottom w:val="single" w:sz="6" w:space="0" w:color="000000"/>
        </w:tcBorders>
        <w:shd w:val="pct50" w:color="000000" w:fill="FFFFFF"/>
      </w:tcPr>
    </w:tblStylePr>
    <w:tblStylePr w:type="firstCol">
      <w:rPr>
        <w:rFonts w:cs="MS Gothic"/>
        <w:b/>
        <w:bCs/>
      </w:rPr>
    </w:tblStylePr>
    <w:tblStylePr w:type="nwCell">
      <w:rPr>
        <w:rFonts w:cs="MS Gothic"/>
        <w:b/>
        <w:bCs/>
      </w:rPr>
    </w:tblStylePr>
    <w:tblStylePr w:type="swCell">
      <w:rPr>
        <w:rFonts w:cs="MS Gothic"/>
        <w:color w:val="000080"/>
      </w:rPr>
    </w:tblStylePr>
  </w:style>
  <w:style w:type="paragraph" w:customStyle="1" w:styleId="Report-Title">
    <w:name w:val="Report-Title"/>
    <w:link w:val="Report-TitleChar"/>
    <w:rsid w:val="008F5130"/>
    <w:pPr>
      <w:spacing w:after="240"/>
    </w:pPr>
    <w:rPr>
      <w:rFonts w:ascii="Arial" w:hAnsi="Arial" w:cs="Times New Roman"/>
      <w:b/>
      <w:color w:val="00209E"/>
      <w:sz w:val="36"/>
      <w:szCs w:val="36"/>
    </w:rPr>
  </w:style>
  <w:style w:type="character" w:customStyle="1" w:styleId="Report-TitleChar">
    <w:name w:val="Report-Title Char"/>
    <w:link w:val="Report-Title"/>
    <w:locked/>
    <w:rsid w:val="008F5130"/>
    <w:rPr>
      <w:rFonts w:ascii="Arial" w:hAnsi="Arial"/>
      <w:b/>
      <w:color w:val="00209E"/>
      <w:sz w:val="36"/>
    </w:rPr>
  </w:style>
  <w:style w:type="paragraph" w:customStyle="1" w:styleId="Report-Type">
    <w:name w:val="Report-Type"/>
    <w:basedOn w:val="Normal"/>
    <w:link w:val="Report-TypeChar"/>
    <w:rsid w:val="008F5130"/>
    <w:pPr>
      <w:spacing w:before="120" w:after="480" w:line="240" w:lineRule="auto"/>
      <w:jc w:val="left"/>
    </w:pPr>
    <w:rPr>
      <w:rFonts w:ascii="Times New Roman" w:eastAsia="Calibri" w:hAnsi="Times New Roman" w:cs="Times New Roman"/>
      <w:i/>
      <w:color w:val="009543"/>
      <w:sz w:val="28"/>
      <w:szCs w:val="28"/>
      <w:lang w:val="en-GB" w:eastAsia="ko-KR"/>
    </w:rPr>
  </w:style>
  <w:style w:type="character" w:customStyle="1" w:styleId="Report-TypeChar">
    <w:name w:val="Report-Type Char"/>
    <w:link w:val="Report-Type"/>
    <w:locked/>
    <w:rsid w:val="008F5130"/>
    <w:rPr>
      <w:rFonts w:ascii="Times New Roman" w:hAnsi="Times New Roman"/>
      <w:i/>
      <w:color w:val="009543"/>
      <w:sz w:val="28"/>
      <w:lang w:val="en-GB"/>
    </w:rPr>
  </w:style>
  <w:style w:type="paragraph" w:customStyle="1" w:styleId="Report-Info">
    <w:name w:val="Report-Info"/>
    <w:rsid w:val="008F5130"/>
    <w:rPr>
      <w:rFonts w:ascii="Times New Roman" w:hAnsi="Times New Roman" w:cs="Times New Roman"/>
      <w:sz w:val="22"/>
      <w:szCs w:val="24"/>
    </w:rPr>
  </w:style>
  <w:style w:type="paragraph" w:customStyle="1" w:styleId="a">
    <w:basedOn w:val="Normal"/>
    <w:rsid w:val="00905ACD"/>
    <w:pPr>
      <w:spacing w:before="0" w:after="160" w:line="240" w:lineRule="exact"/>
      <w:jc w:val="left"/>
    </w:pPr>
    <w:rPr>
      <w:rFonts w:ascii="Arial" w:hAnsi="Arial" w:cs="Arial"/>
      <w:sz w:val="20"/>
      <w:szCs w:val="20"/>
    </w:rPr>
  </w:style>
  <w:style w:type="paragraph" w:customStyle="1" w:styleId="CharChar10">
    <w:name w:val="Char Char10"/>
    <w:basedOn w:val="Normal"/>
    <w:rsid w:val="000711E9"/>
    <w:pPr>
      <w:spacing w:before="0" w:after="160" w:line="240" w:lineRule="exact"/>
      <w:jc w:val="left"/>
    </w:pPr>
    <w:rPr>
      <w:rFonts w:ascii="Verdana" w:hAnsi="Verdana" w:cs="Times New Roman"/>
      <w:sz w:val="20"/>
      <w:szCs w:val="20"/>
      <w:lang w:val="en-GB"/>
    </w:rPr>
  </w:style>
  <w:style w:type="paragraph" w:customStyle="1" w:styleId="A-PDSTA-TableHeader">
    <w:name w:val="A - PDS TA - Table Header"/>
    <w:basedOn w:val="Normal"/>
    <w:rsid w:val="00110F19"/>
    <w:pPr>
      <w:spacing w:before="0" w:after="0" w:line="240" w:lineRule="auto"/>
      <w:jc w:val="left"/>
    </w:pPr>
    <w:rPr>
      <w:rFonts w:ascii="Arial" w:hAnsi="Arial" w:cs="Arial"/>
      <w:b/>
      <w:bCs/>
      <w:sz w:val="16"/>
      <w:szCs w:val="16"/>
    </w:rPr>
  </w:style>
  <w:style w:type="paragraph" w:customStyle="1" w:styleId="ListParagraph1">
    <w:name w:val="List Paragraph1"/>
    <w:basedOn w:val="Normal"/>
    <w:rsid w:val="008C3EFF"/>
    <w:pPr>
      <w:spacing w:before="0"/>
      <w:ind w:left="720"/>
      <w:jc w:val="left"/>
    </w:pPr>
    <w:rPr>
      <w:rFonts w:cs="Times New Roman"/>
      <w:lang w:val="en-AU" w:eastAsia="en-AU"/>
    </w:rPr>
  </w:style>
  <w:style w:type="character" w:customStyle="1" w:styleId="apple-converted-space">
    <w:name w:val="apple-converted-space"/>
    <w:basedOn w:val="DefaultParagraphFont"/>
    <w:rsid w:val="008C6004"/>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5E6881"/>
    <w:pPr>
      <w:spacing w:before="0" w:after="160" w:line="240" w:lineRule="exact"/>
      <w:jc w:val="left"/>
    </w:pPr>
    <w:rPr>
      <w:rFonts w:ascii="Arial" w:hAnsi="Arial" w:cs="Arial"/>
      <w:sz w:val="20"/>
      <w:szCs w:val="20"/>
    </w:rPr>
  </w:style>
  <w:style w:type="paragraph" w:customStyle="1" w:styleId="Letdear">
    <w:name w:val="Let: dear"/>
    <w:basedOn w:val="Normal"/>
    <w:rsid w:val="00A92649"/>
    <w:pPr>
      <w:tabs>
        <w:tab w:val="left" w:pos="5400"/>
        <w:tab w:val="left" w:pos="7200"/>
      </w:tabs>
      <w:spacing w:before="0" w:after="0" w:line="240" w:lineRule="auto"/>
      <w:jc w:val="left"/>
    </w:pPr>
    <w:rPr>
      <w:rFonts w:ascii="Times New Roman" w:hAnsi="Times New Roman" w:cs="Times New Roman"/>
      <w:sz w:val="24"/>
      <w:szCs w:val="20"/>
    </w:rPr>
  </w:style>
  <w:style w:type="paragraph" w:styleId="ListParagraph">
    <w:name w:val="List Paragraph"/>
    <w:basedOn w:val="Normal"/>
    <w:qFormat/>
    <w:rsid w:val="00E97643"/>
    <w:pPr>
      <w:ind w:left="720"/>
      <w:contextualSpacing/>
    </w:pPr>
  </w:style>
  <w:style w:type="paragraph" w:styleId="DocumentMap">
    <w:name w:val="Document Map"/>
    <w:basedOn w:val="Normal"/>
    <w:link w:val="DocumentMapChar"/>
    <w:rsid w:val="00AC6D44"/>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AC6D44"/>
    <w:rPr>
      <w:rFonts w:ascii="Lucida Grande" w:eastAsia="Times New Roman" w:hAnsi="Lucida Grande" w:cs="Lucida Grande"/>
      <w:sz w:val="24"/>
      <w:szCs w:val="24"/>
    </w:rPr>
  </w:style>
  <w:style w:type="paragraph" w:customStyle="1" w:styleId="TableGrid1">
    <w:name w:val="Table Grid1"/>
    <w:rsid w:val="00DD53B1"/>
    <w:pPr>
      <w:suppressAutoHyphens/>
      <w:spacing w:line="100" w:lineRule="atLeast"/>
    </w:pPr>
    <w:rPr>
      <w:rFonts w:ascii="Times New Roman" w:eastAsia="ヒラギノ角ゴ Pro W3" w:hAnsi="Times New Roman" w:cs="Times New Roman"/>
      <w:color w:val="000000"/>
      <w:lang w:val="en-GB"/>
    </w:rPr>
  </w:style>
  <w:style w:type="paragraph" w:customStyle="1" w:styleId="CaptionA">
    <w:name w:val="Caption A"/>
    <w:rsid w:val="00DD53B1"/>
    <w:pPr>
      <w:suppressAutoHyphens/>
      <w:spacing w:before="120" w:after="120" w:line="100" w:lineRule="atLeast"/>
    </w:pPr>
    <w:rPr>
      <w:rFonts w:ascii="Lucida Grande" w:eastAsia="ヒラギノ角ゴ Pro W3" w:hAnsi="Lucida Grande" w:cs="Times New Roman"/>
      <w:color w:val="000000"/>
      <w:kern w:val="1"/>
      <w:sz w:val="24"/>
      <w:lang w:val="pt-PT"/>
    </w:rPr>
  </w:style>
  <w:style w:type="paragraph" w:customStyle="1" w:styleId="NumberedParas">
    <w:name w:val="Numbered Paras"/>
    <w:basedOn w:val="Normal"/>
    <w:rsid w:val="00801D0C"/>
    <w:pPr>
      <w:numPr>
        <w:numId w:val="3"/>
      </w:numPr>
      <w:spacing w:before="0" w:after="0" w:line="240" w:lineRule="auto"/>
    </w:pPr>
    <w:rPr>
      <w:rFonts w:ascii="Times New Roman" w:hAnsi="Times New Roman" w:cs="Times New Roman"/>
      <w:noProof/>
      <w:sz w:val="24"/>
    </w:rPr>
  </w:style>
  <w:style w:type="character" w:customStyle="1" w:styleId="Geneva9Char1">
    <w:name w:val="Geneva 9 Char1"/>
    <w:aliases w:val="Font: Geneva 9 Char1,Boston 10 Char1,f Char1,single space Char1,Footnote Char1,otnote Text Char1,ft Char1,Footnote Text Char Char1,DNV-FT Char1,fn Char1,ADB Char1,Fußnote Char1,WB-Fußnotentext Char1,FOOTNOTES Char"/>
    <w:basedOn w:val="DefaultParagraphFont"/>
    <w:locked/>
    <w:rsid w:val="0065770A"/>
    <w:rPr>
      <w:rFonts w:eastAsia="Batang"/>
      <w:lang w:val="en-GB" w:eastAsia="ko-KR" w:bidi="ar-SA"/>
    </w:rPr>
  </w:style>
  <w:style w:type="character" w:customStyle="1" w:styleId="apple-style-span">
    <w:name w:val="apple-style-span"/>
    <w:basedOn w:val="DefaultParagraphFont"/>
    <w:rsid w:val="00787487"/>
  </w:style>
  <w:style w:type="character" w:customStyle="1" w:styleId="a1">
    <w:name w:val="a"/>
    <w:basedOn w:val="DefaultParagraphFont"/>
    <w:rsid w:val="0072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76">
          <w:marLeft w:val="547"/>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207">
                  <w:marLeft w:val="1671"/>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26">
          <w:marLeft w:val="547"/>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177">
                  <w:marLeft w:val="154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233">
          <w:marLeft w:val="547"/>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2">
                      <w:marLeft w:val="125"/>
                      <w:marRight w:val="125"/>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275">
                  <w:marLeft w:val="161"/>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
      <w:marLeft w:val="25"/>
      <w:marRight w:val="25"/>
      <w:marTop w:val="25"/>
      <w:marBottom w:val="25"/>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260">
                  <w:marLeft w:val="1417"/>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20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3">
              <w:marLeft w:val="376"/>
              <w:marRight w:val="376"/>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163">
                  <w:marLeft w:val="1417"/>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201">
                  <w:marLeft w:val="1671"/>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93">
                  <w:marLeft w:val="1671"/>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sChild>
        <w:div w:id="55">
          <w:marLeft w:val="547"/>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195">
          <w:marLeft w:val="547"/>
          <w:marRight w:val="0"/>
          <w:marTop w:val="0"/>
          <w:marBottom w:val="0"/>
          <w:divBdr>
            <w:top w:val="none" w:sz="0" w:space="0" w:color="auto"/>
            <w:left w:val="none" w:sz="0" w:space="0" w:color="auto"/>
            <w:bottom w:val="none" w:sz="0" w:space="0" w:color="auto"/>
            <w:right w:val="none" w:sz="0" w:space="0" w:color="auto"/>
          </w:divBdr>
        </w:div>
      </w:divsChild>
    </w:div>
    <w:div w:id="123">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276">
                  <w:marLeft w:val="161"/>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133">
                  <w:marLeft w:val="161"/>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single" w:sz="6" w:space="0" w:color="DDDDDD"/>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53">
                                          <w:marLeft w:val="2717"/>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
      <w:marLeft w:val="0"/>
      <w:marRight w:val="0"/>
      <w:marTop w:val="263"/>
      <w:marBottom w:val="25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63">
                  <w:marLeft w:val="1671"/>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181">
              <w:marLeft w:val="376"/>
              <w:marRight w:val="376"/>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135">
                  <w:marLeft w:val="161"/>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212">
                  <w:marLeft w:val="161"/>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8">
              <w:marLeft w:val="376"/>
              <w:marRight w:val="376"/>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32">
                  <w:marLeft w:val="1671"/>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68">
                  <w:marLeft w:val="1671"/>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305">
                  <w:marLeft w:val="1671"/>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15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226">
                  <w:marLeft w:val="1671"/>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sChild>
        <w:div w:id="273">
          <w:marLeft w:val="547"/>
          <w:marRight w:val="0"/>
          <w:marTop w:val="0"/>
          <w:marBottom w:val="0"/>
          <w:divBdr>
            <w:top w:val="none" w:sz="0" w:space="0" w:color="auto"/>
            <w:left w:val="none" w:sz="0" w:space="0" w:color="auto"/>
            <w:bottom w:val="none" w:sz="0" w:space="0" w:color="auto"/>
            <w:right w:val="none" w:sz="0" w:space="0" w:color="auto"/>
          </w:divBdr>
        </w:div>
      </w:divsChild>
    </w:div>
    <w:div w:id="24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311">
                  <w:marLeft w:val="161"/>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
      </w:divsChild>
    </w:div>
    <w:div w:id="270">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222">
                  <w:marLeft w:val="1671"/>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75"/>
                  <w:marBottom w:val="15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3">
                  <w:marLeft w:val="161"/>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54">
              <w:marLeft w:val="376"/>
              <w:marRight w:val="376"/>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 w:id="332">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sChild>
        <w:div w:id="320">
          <w:marLeft w:val="547"/>
          <w:marRight w:val="0"/>
          <w:marTop w:val="80"/>
          <w:marBottom w:val="0"/>
          <w:divBdr>
            <w:top w:val="none" w:sz="0" w:space="0" w:color="auto"/>
            <w:left w:val="none" w:sz="0" w:space="0" w:color="auto"/>
            <w:bottom w:val="none" w:sz="0" w:space="0" w:color="auto"/>
            <w:right w:val="none" w:sz="0" w:space="0" w:color="auto"/>
          </w:divBdr>
        </w:div>
        <w:div w:id="322">
          <w:marLeft w:val="1166"/>
          <w:marRight w:val="0"/>
          <w:marTop w:val="80"/>
          <w:marBottom w:val="0"/>
          <w:divBdr>
            <w:top w:val="none" w:sz="0" w:space="0" w:color="auto"/>
            <w:left w:val="none" w:sz="0" w:space="0" w:color="auto"/>
            <w:bottom w:val="none" w:sz="0" w:space="0" w:color="auto"/>
            <w:right w:val="none" w:sz="0" w:space="0" w:color="auto"/>
          </w:divBdr>
        </w:div>
        <w:div w:id="325">
          <w:marLeft w:val="1166"/>
          <w:marRight w:val="0"/>
          <w:marTop w:val="80"/>
          <w:marBottom w:val="0"/>
          <w:divBdr>
            <w:top w:val="none" w:sz="0" w:space="0" w:color="auto"/>
            <w:left w:val="none" w:sz="0" w:space="0" w:color="auto"/>
            <w:bottom w:val="none" w:sz="0" w:space="0" w:color="auto"/>
            <w:right w:val="none" w:sz="0" w:space="0" w:color="auto"/>
          </w:divBdr>
        </w:div>
        <w:div w:id="327">
          <w:marLeft w:val="1166"/>
          <w:marRight w:val="0"/>
          <w:marTop w:val="80"/>
          <w:marBottom w:val="0"/>
          <w:divBdr>
            <w:top w:val="none" w:sz="0" w:space="0" w:color="auto"/>
            <w:left w:val="none" w:sz="0" w:space="0" w:color="auto"/>
            <w:bottom w:val="none" w:sz="0" w:space="0" w:color="auto"/>
            <w:right w:val="none" w:sz="0" w:space="0" w:color="auto"/>
          </w:divBdr>
        </w:div>
        <w:div w:id="328">
          <w:marLeft w:val="547"/>
          <w:marRight w:val="0"/>
          <w:marTop w:val="80"/>
          <w:marBottom w:val="0"/>
          <w:divBdr>
            <w:top w:val="none" w:sz="0" w:space="0" w:color="auto"/>
            <w:left w:val="none" w:sz="0" w:space="0" w:color="auto"/>
            <w:bottom w:val="none" w:sz="0" w:space="0" w:color="auto"/>
            <w:right w:val="none" w:sz="0" w:space="0" w:color="auto"/>
          </w:divBdr>
        </w:div>
        <w:div w:id="330">
          <w:marLeft w:val="547"/>
          <w:marRight w:val="0"/>
          <w:marTop w:val="80"/>
          <w:marBottom w:val="0"/>
          <w:divBdr>
            <w:top w:val="none" w:sz="0" w:space="0" w:color="auto"/>
            <w:left w:val="none" w:sz="0" w:space="0" w:color="auto"/>
            <w:bottom w:val="none" w:sz="0" w:space="0" w:color="auto"/>
            <w:right w:val="none" w:sz="0" w:space="0" w:color="auto"/>
          </w:divBdr>
        </w:div>
        <w:div w:id="331">
          <w:marLeft w:val="1166"/>
          <w:marRight w:val="0"/>
          <w:marTop w:val="80"/>
          <w:marBottom w:val="0"/>
          <w:divBdr>
            <w:top w:val="none" w:sz="0" w:space="0" w:color="auto"/>
            <w:left w:val="none" w:sz="0" w:space="0" w:color="auto"/>
            <w:bottom w:val="none" w:sz="0" w:space="0" w:color="auto"/>
            <w:right w:val="none" w:sz="0" w:space="0" w:color="auto"/>
          </w:divBdr>
        </w:div>
        <w:div w:id="333">
          <w:marLeft w:val="547"/>
          <w:marRight w:val="0"/>
          <w:marTop w:val="80"/>
          <w:marBottom w:val="0"/>
          <w:divBdr>
            <w:top w:val="none" w:sz="0" w:space="0" w:color="auto"/>
            <w:left w:val="none" w:sz="0" w:space="0" w:color="auto"/>
            <w:bottom w:val="none" w:sz="0" w:space="0" w:color="auto"/>
            <w:right w:val="none" w:sz="0" w:space="0" w:color="auto"/>
          </w:divBdr>
        </w:div>
        <w:div w:id="337">
          <w:marLeft w:val="1166"/>
          <w:marRight w:val="0"/>
          <w:marTop w:val="80"/>
          <w:marBottom w:val="0"/>
          <w:divBdr>
            <w:top w:val="none" w:sz="0" w:space="0" w:color="auto"/>
            <w:left w:val="none" w:sz="0" w:space="0" w:color="auto"/>
            <w:bottom w:val="none" w:sz="0" w:space="0" w:color="auto"/>
            <w:right w:val="none" w:sz="0" w:space="0" w:color="auto"/>
          </w:divBdr>
        </w:div>
        <w:div w:id="342">
          <w:marLeft w:val="1166"/>
          <w:marRight w:val="0"/>
          <w:marTop w:val="80"/>
          <w:marBottom w:val="0"/>
          <w:divBdr>
            <w:top w:val="none" w:sz="0" w:space="0" w:color="auto"/>
            <w:left w:val="none" w:sz="0" w:space="0" w:color="auto"/>
            <w:bottom w:val="none" w:sz="0" w:space="0" w:color="auto"/>
            <w:right w:val="none" w:sz="0" w:space="0" w:color="auto"/>
          </w:divBdr>
        </w:div>
        <w:div w:id="343">
          <w:marLeft w:val="1166"/>
          <w:marRight w:val="0"/>
          <w:marTop w:val="80"/>
          <w:marBottom w:val="0"/>
          <w:divBdr>
            <w:top w:val="none" w:sz="0" w:space="0" w:color="auto"/>
            <w:left w:val="none" w:sz="0" w:space="0" w:color="auto"/>
            <w:bottom w:val="none" w:sz="0" w:space="0" w:color="auto"/>
            <w:right w:val="none" w:sz="0" w:space="0" w:color="auto"/>
          </w:divBdr>
        </w:div>
        <w:div w:id="344">
          <w:marLeft w:val="1166"/>
          <w:marRight w:val="0"/>
          <w:marTop w:val="80"/>
          <w:marBottom w:val="0"/>
          <w:divBdr>
            <w:top w:val="none" w:sz="0" w:space="0" w:color="auto"/>
            <w:left w:val="none" w:sz="0" w:space="0" w:color="auto"/>
            <w:bottom w:val="none" w:sz="0" w:space="0" w:color="auto"/>
            <w:right w:val="none" w:sz="0" w:space="0" w:color="auto"/>
          </w:divBdr>
        </w:div>
        <w:div w:id="346">
          <w:marLeft w:val="547"/>
          <w:marRight w:val="0"/>
          <w:marTop w:val="80"/>
          <w:marBottom w:val="0"/>
          <w:divBdr>
            <w:top w:val="none" w:sz="0" w:space="0" w:color="auto"/>
            <w:left w:val="none" w:sz="0" w:space="0" w:color="auto"/>
            <w:bottom w:val="none" w:sz="0" w:space="0" w:color="auto"/>
            <w:right w:val="none" w:sz="0" w:space="0" w:color="auto"/>
          </w:divBdr>
        </w:div>
        <w:div w:id="348">
          <w:marLeft w:val="1166"/>
          <w:marRight w:val="0"/>
          <w:marTop w:val="80"/>
          <w:marBottom w:val="0"/>
          <w:divBdr>
            <w:top w:val="none" w:sz="0" w:space="0" w:color="auto"/>
            <w:left w:val="none" w:sz="0" w:space="0" w:color="auto"/>
            <w:bottom w:val="none" w:sz="0" w:space="0" w:color="auto"/>
            <w:right w:val="none" w:sz="0" w:space="0" w:color="auto"/>
          </w:divBdr>
        </w:div>
        <w:div w:id="349">
          <w:marLeft w:val="1166"/>
          <w:marRight w:val="0"/>
          <w:marTop w:val="80"/>
          <w:marBottom w:val="0"/>
          <w:divBdr>
            <w:top w:val="none" w:sz="0" w:space="0" w:color="auto"/>
            <w:left w:val="none" w:sz="0" w:space="0" w:color="auto"/>
            <w:bottom w:val="none" w:sz="0" w:space="0" w:color="auto"/>
            <w:right w:val="none" w:sz="0" w:space="0" w:color="auto"/>
          </w:divBdr>
        </w:div>
        <w:div w:id="350">
          <w:marLeft w:val="1166"/>
          <w:marRight w:val="0"/>
          <w:marTop w:val="80"/>
          <w:marBottom w:val="0"/>
          <w:divBdr>
            <w:top w:val="none" w:sz="0" w:space="0" w:color="auto"/>
            <w:left w:val="none" w:sz="0" w:space="0" w:color="auto"/>
            <w:bottom w:val="none" w:sz="0" w:space="0" w:color="auto"/>
            <w:right w:val="none" w:sz="0" w:space="0" w:color="auto"/>
          </w:divBdr>
        </w:div>
        <w:div w:id="357">
          <w:marLeft w:val="1166"/>
          <w:marRight w:val="0"/>
          <w:marTop w:val="80"/>
          <w:marBottom w:val="0"/>
          <w:divBdr>
            <w:top w:val="none" w:sz="0" w:space="0" w:color="auto"/>
            <w:left w:val="none" w:sz="0" w:space="0" w:color="auto"/>
            <w:bottom w:val="none" w:sz="0" w:space="0" w:color="auto"/>
            <w:right w:val="none" w:sz="0" w:space="0" w:color="auto"/>
          </w:divBdr>
        </w:div>
        <w:div w:id="359">
          <w:marLeft w:val="1166"/>
          <w:marRight w:val="0"/>
          <w:marTop w:val="80"/>
          <w:marBottom w:val="0"/>
          <w:divBdr>
            <w:top w:val="none" w:sz="0" w:space="0" w:color="auto"/>
            <w:left w:val="none" w:sz="0" w:space="0" w:color="auto"/>
            <w:bottom w:val="none" w:sz="0" w:space="0" w:color="auto"/>
            <w:right w:val="none" w:sz="0" w:space="0" w:color="auto"/>
          </w:divBdr>
        </w:div>
        <w:div w:id="360">
          <w:marLeft w:val="1166"/>
          <w:marRight w:val="0"/>
          <w:marTop w:val="80"/>
          <w:marBottom w:val="0"/>
          <w:divBdr>
            <w:top w:val="none" w:sz="0" w:space="0" w:color="auto"/>
            <w:left w:val="none" w:sz="0" w:space="0" w:color="auto"/>
            <w:bottom w:val="none" w:sz="0" w:space="0" w:color="auto"/>
            <w:right w:val="none" w:sz="0" w:space="0" w:color="auto"/>
          </w:divBdr>
        </w:div>
      </w:divsChild>
    </w:div>
    <w:div w:id="336">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sChild>
        <w:div w:id="323">
          <w:marLeft w:val="1800"/>
          <w:marRight w:val="0"/>
          <w:marTop w:val="120"/>
          <w:marBottom w:val="0"/>
          <w:divBdr>
            <w:top w:val="none" w:sz="0" w:space="0" w:color="auto"/>
            <w:left w:val="none" w:sz="0" w:space="0" w:color="auto"/>
            <w:bottom w:val="none" w:sz="0" w:space="0" w:color="auto"/>
            <w:right w:val="none" w:sz="0" w:space="0" w:color="auto"/>
          </w:divBdr>
        </w:div>
        <w:div w:id="324">
          <w:marLeft w:val="1800"/>
          <w:marRight w:val="0"/>
          <w:marTop w:val="120"/>
          <w:marBottom w:val="0"/>
          <w:divBdr>
            <w:top w:val="none" w:sz="0" w:space="0" w:color="auto"/>
            <w:left w:val="none" w:sz="0" w:space="0" w:color="auto"/>
            <w:bottom w:val="none" w:sz="0" w:space="0" w:color="auto"/>
            <w:right w:val="none" w:sz="0" w:space="0" w:color="auto"/>
          </w:divBdr>
        </w:div>
        <w:div w:id="329">
          <w:marLeft w:val="1800"/>
          <w:marRight w:val="0"/>
          <w:marTop w:val="120"/>
          <w:marBottom w:val="0"/>
          <w:divBdr>
            <w:top w:val="none" w:sz="0" w:space="0" w:color="auto"/>
            <w:left w:val="none" w:sz="0" w:space="0" w:color="auto"/>
            <w:bottom w:val="none" w:sz="0" w:space="0" w:color="auto"/>
            <w:right w:val="none" w:sz="0" w:space="0" w:color="auto"/>
          </w:divBdr>
        </w:div>
        <w:div w:id="340">
          <w:marLeft w:val="1800"/>
          <w:marRight w:val="0"/>
          <w:marTop w:val="120"/>
          <w:marBottom w:val="0"/>
          <w:divBdr>
            <w:top w:val="none" w:sz="0" w:space="0" w:color="auto"/>
            <w:left w:val="none" w:sz="0" w:space="0" w:color="auto"/>
            <w:bottom w:val="none" w:sz="0" w:space="0" w:color="auto"/>
            <w:right w:val="none" w:sz="0" w:space="0" w:color="auto"/>
          </w:divBdr>
        </w:div>
        <w:div w:id="356">
          <w:marLeft w:val="1800"/>
          <w:marRight w:val="0"/>
          <w:marTop w:val="120"/>
          <w:marBottom w:val="0"/>
          <w:divBdr>
            <w:top w:val="none" w:sz="0" w:space="0" w:color="auto"/>
            <w:left w:val="none" w:sz="0" w:space="0" w:color="auto"/>
            <w:bottom w:val="none" w:sz="0" w:space="0" w:color="auto"/>
            <w:right w:val="none" w:sz="0" w:space="0" w:color="auto"/>
          </w:divBdr>
        </w:div>
      </w:divsChild>
    </w:div>
    <w:div w:id="355">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sChild>
        <w:div w:id="334">
          <w:marLeft w:val="1800"/>
          <w:marRight w:val="0"/>
          <w:marTop w:val="120"/>
          <w:marBottom w:val="0"/>
          <w:divBdr>
            <w:top w:val="none" w:sz="0" w:space="0" w:color="auto"/>
            <w:left w:val="none" w:sz="0" w:space="0" w:color="auto"/>
            <w:bottom w:val="none" w:sz="0" w:space="0" w:color="auto"/>
            <w:right w:val="none" w:sz="0" w:space="0" w:color="auto"/>
          </w:divBdr>
        </w:div>
        <w:div w:id="345">
          <w:marLeft w:val="1800"/>
          <w:marRight w:val="0"/>
          <w:marTop w:val="120"/>
          <w:marBottom w:val="0"/>
          <w:divBdr>
            <w:top w:val="none" w:sz="0" w:space="0" w:color="auto"/>
            <w:left w:val="none" w:sz="0" w:space="0" w:color="auto"/>
            <w:bottom w:val="none" w:sz="0" w:space="0" w:color="auto"/>
            <w:right w:val="none" w:sz="0" w:space="0" w:color="auto"/>
          </w:divBdr>
        </w:div>
        <w:div w:id="361">
          <w:marLeft w:val="1800"/>
          <w:marRight w:val="0"/>
          <w:marTop w:val="120"/>
          <w:marBottom w:val="0"/>
          <w:divBdr>
            <w:top w:val="none" w:sz="0" w:space="0" w:color="auto"/>
            <w:left w:val="none" w:sz="0" w:space="0" w:color="auto"/>
            <w:bottom w:val="none" w:sz="0" w:space="0" w:color="auto"/>
            <w:right w:val="none" w:sz="0" w:space="0" w:color="auto"/>
          </w:divBdr>
        </w:div>
        <w:div w:id="364">
          <w:marLeft w:val="1800"/>
          <w:marRight w:val="0"/>
          <w:marTop w:val="120"/>
          <w:marBottom w:val="0"/>
          <w:divBdr>
            <w:top w:val="none" w:sz="0" w:space="0" w:color="auto"/>
            <w:left w:val="none" w:sz="0" w:space="0" w:color="auto"/>
            <w:bottom w:val="none" w:sz="0" w:space="0" w:color="auto"/>
            <w:right w:val="none" w:sz="0" w:space="0" w:color="auto"/>
          </w:divBdr>
        </w:div>
        <w:div w:id="368">
          <w:marLeft w:val="1800"/>
          <w:marRight w:val="0"/>
          <w:marTop w:val="120"/>
          <w:marBottom w:val="0"/>
          <w:divBdr>
            <w:top w:val="none" w:sz="0" w:space="0" w:color="auto"/>
            <w:left w:val="none" w:sz="0" w:space="0" w:color="auto"/>
            <w:bottom w:val="none" w:sz="0" w:space="0" w:color="auto"/>
            <w:right w:val="none" w:sz="0" w:space="0" w:color="auto"/>
          </w:divBdr>
        </w:div>
      </w:divsChild>
    </w:div>
    <w:div w:id="363">
      <w:marLeft w:val="0"/>
      <w:marRight w:val="0"/>
      <w:marTop w:val="0"/>
      <w:marBottom w:val="0"/>
      <w:divBdr>
        <w:top w:val="none" w:sz="0" w:space="0" w:color="auto"/>
        <w:left w:val="none" w:sz="0" w:space="0" w:color="auto"/>
        <w:bottom w:val="none" w:sz="0" w:space="0" w:color="auto"/>
        <w:right w:val="none" w:sz="0" w:space="0" w:color="auto"/>
      </w:divBdr>
      <w:divsChild>
        <w:div w:id="321">
          <w:marLeft w:val="1166"/>
          <w:marRight w:val="0"/>
          <w:marTop w:val="120"/>
          <w:marBottom w:val="0"/>
          <w:divBdr>
            <w:top w:val="none" w:sz="0" w:space="0" w:color="auto"/>
            <w:left w:val="none" w:sz="0" w:space="0" w:color="auto"/>
            <w:bottom w:val="none" w:sz="0" w:space="0" w:color="auto"/>
            <w:right w:val="none" w:sz="0" w:space="0" w:color="auto"/>
          </w:divBdr>
        </w:div>
        <w:div w:id="326">
          <w:marLeft w:val="547"/>
          <w:marRight w:val="0"/>
          <w:marTop w:val="120"/>
          <w:marBottom w:val="0"/>
          <w:divBdr>
            <w:top w:val="none" w:sz="0" w:space="0" w:color="auto"/>
            <w:left w:val="none" w:sz="0" w:space="0" w:color="auto"/>
            <w:bottom w:val="none" w:sz="0" w:space="0" w:color="auto"/>
            <w:right w:val="none" w:sz="0" w:space="0" w:color="auto"/>
          </w:divBdr>
        </w:div>
        <w:div w:id="338">
          <w:marLeft w:val="547"/>
          <w:marRight w:val="0"/>
          <w:marTop w:val="120"/>
          <w:marBottom w:val="0"/>
          <w:divBdr>
            <w:top w:val="none" w:sz="0" w:space="0" w:color="auto"/>
            <w:left w:val="none" w:sz="0" w:space="0" w:color="auto"/>
            <w:bottom w:val="none" w:sz="0" w:space="0" w:color="auto"/>
            <w:right w:val="none" w:sz="0" w:space="0" w:color="auto"/>
          </w:divBdr>
        </w:div>
        <w:div w:id="339">
          <w:marLeft w:val="1166"/>
          <w:marRight w:val="0"/>
          <w:marTop w:val="120"/>
          <w:marBottom w:val="0"/>
          <w:divBdr>
            <w:top w:val="none" w:sz="0" w:space="0" w:color="auto"/>
            <w:left w:val="none" w:sz="0" w:space="0" w:color="auto"/>
            <w:bottom w:val="none" w:sz="0" w:space="0" w:color="auto"/>
            <w:right w:val="none" w:sz="0" w:space="0" w:color="auto"/>
          </w:divBdr>
        </w:div>
        <w:div w:id="347">
          <w:marLeft w:val="547"/>
          <w:marRight w:val="0"/>
          <w:marTop w:val="120"/>
          <w:marBottom w:val="0"/>
          <w:divBdr>
            <w:top w:val="none" w:sz="0" w:space="0" w:color="auto"/>
            <w:left w:val="none" w:sz="0" w:space="0" w:color="auto"/>
            <w:bottom w:val="none" w:sz="0" w:space="0" w:color="auto"/>
            <w:right w:val="none" w:sz="0" w:space="0" w:color="auto"/>
          </w:divBdr>
        </w:div>
        <w:div w:id="354">
          <w:marLeft w:val="1166"/>
          <w:marRight w:val="0"/>
          <w:marTop w:val="120"/>
          <w:marBottom w:val="0"/>
          <w:divBdr>
            <w:top w:val="none" w:sz="0" w:space="0" w:color="auto"/>
            <w:left w:val="none" w:sz="0" w:space="0" w:color="auto"/>
            <w:bottom w:val="none" w:sz="0" w:space="0" w:color="auto"/>
            <w:right w:val="none" w:sz="0" w:space="0" w:color="auto"/>
          </w:divBdr>
        </w:div>
        <w:div w:id="358">
          <w:marLeft w:val="1166"/>
          <w:marRight w:val="0"/>
          <w:marTop w:val="120"/>
          <w:marBottom w:val="0"/>
          <w:divBdr>
            <w:top w:val="none" w:sz="0" w:space="0" w:color="auto"/>
            <w:left w:val="none" w:sz="0" w:space="0" w:color="auto"/>
            <w:bottom w:val="none" w:sz="0" w:space="0" w:color="auto"/>
            <w:right w:val="none" w:sz="0" w:space="0" w:color="auto"/>
          </w:divBdr>
        </w:div>
        <w:div w:id="365">
          <w:marLeft w:val="1166"/>
          <w:marRight w:val="0"/>
          <w:marTop w:val="120"/>
          <w:marBottom w:val="0"/>
          <w:divBdr>
            <w:top w:val="none" w:sz="0" w:space="0" w:color="auto"/>
            <w:left w:val="none" w:sz="0" w:space="0" w:color="auto"/>
            <w:bottom w:val="none" w:sz="0" w:space="0" w:color="auto"/>
            <w:right w:val="none" w:sz="0" w:space="0" w:color="auto"/>
          </w:divBdr>
        </w:div>
        <w:div w:id="366">
          <w:marLeft w:val="1166"/>
          <w:marRight w:val="0"/>
          <w:marTop w:val="120"/>
          <w:marBottom w:val="0"/>
          <w:divBdr>
            <w:top w:val="none" w:sz="0" w:space="0" w:color="auto"/>
            <w:left w:val="none" w:sz="0" w:space="0" w:color="auto"/>
            <w:bottom w:val="none" w:sz="0" w:space="0" w:color="auto"/>
            <w:right w:val="none" w:sz="0" w:space="0" w:color="auto"/>
          </w:divBdr>
        </w:div>
        <w:div w:id="369">
          <w:marLeft w:val="1166"/>
          <w:marRight w:val="0"/>
          <w:marTop w:val="12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241450516">
      <w:bodyDiv w:val="1"/>
      <w:marLeft w:val="0"/>
      <w:marRight w:val="0"/>
      <w:marTop w:val="0"/>
      <w:marBottom w:val="0"/>
      <w:divBdr>
        <w:top w:val="none" w:sz="0" w:space="0" w:color="auto"/>
        <w:left w:val="none" w:sz="0" w:space="0" w:color="auto"/>
        <w:bottom w:val="none" w:sz="0" w:space="0" w:color="auto"/>
        <w:right w:val="none" w:sz="0" w:space="0" w:color="auto"/>
      </w:divBdr>
      <w:divsChild>
        <w:div w:id="1413625800">
          <w:marLeft w:val="0"/>
          <w:marRight w:val="0"/>
          <w:marTop w:val="0"/>
          <w:marBottom w:val="0"/>
          <w:divBdr>
            <w:top w:val="none" w:sz="0" w:space="0" w:color="auto"/>
            <w:left w:val="none" w:sz="0" w:space="0" w:color="auto"/>
            <w:bottom w:val="none" w:sz="0" w:space="0" w:color="auto"/>
            <w:right w:val="none" w:sz="0" w:space="0" w:color="auto"/>
          </w:divBdr>
          <w:divsChild>
            <w:div w:id="208540792">
              <w:marLeft w:val="0"/>
              <w:marRight w:val="0"/>
              <w:marTop w:val="0"/>
              <w:marBottom w:val="0"/>
              <w:divBdr>
                <w:top w:val="none" w:sz="0" w:space="0" w:color="auto"/>
                <w:left w:val="none" w:sz="0" w:space="0" w:color="auto"/>
                <w:bottom w:val="none" w:sz="0" w:space="0" w:color="auto"/>
                <w:right w:val="none" w:sz="0" w:space="0" w:color="auto"/>
              </w:divBdr>
              <w:divsChild>
                <w:div w:id="3700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06478">
      <w:bodyDiv w:val="1"/>
      <w:marLeft w:val="0"/>
      <w:marRight w:val="0"/>
      <w:marTop w:val="0"/>
      <w:marBottom w:val="0"/>
      <w:divBdr>
        <w:top w:val="none" w:sz="0" w:space="0" w:color="auto"/>
        <w:left w:val="none" w:sz="0" w:space="0" w:color="auto"/>
        <w:bottom w:val="none" w:sz="0" w:space="0" w:color="auto"/>
        <w:right w:val="none" w:sz="0" w:space="0" w:color="auto"/>
      </w:divBdr>
      <w:divsChild>
        <w:div w:id="1763530777">
          <w:marLeft w:val="547"/>
          <w:marRight w:val="0"/>
          <w:marTop w:val="0"/>
          <w:marBottom w:val="0"/>
          <w:divBdr>
            <w:top w:val="none" w:sz="0" w:space="0" w:color="auto"/>
            <w:left w:val="none" w:sz="0" w:space="0" w:color="auto"/>
            <w:bottom w:val="none" w:sz="0" w:space="0" w:color="auto"/>
            <w:right w:val="none" w:sz="0" w:space="0" w:color="auto"/>
          </w:divBdr>
        </w:div>
        <w:div w:id="1536432417">
          <w:marLeft w:val="547"/>
          <w:marRight w:val="0"/>
          <w:marTop w:val="0"/>
          <w:marBottom w:val="0"/>
          <w:divBdr>
            <w:top w:val="none" w:sz="0" w:space="0" w:color="auto"/>
            <w:left w:val="none" w:sz="0" w:space="0" w:color="auto"/>
            <w:bottom w:val="none" w:sz="0" w:space="0" w:color="auto"/>
            <w:right w:val="none" w:sz="0" w:space="0" w:color="auto"/>
          </w:divBdr>
        </w:div>
        <w:div w:id="1356230555">
          <w:marLeft w:val="547"/>
          <w:marRight w:val="0"/>
          <w:marTop w:val="0"/>
          <w:marBottom w:val="0"/>
          <w:divBdr>
            <w:top w:val="none" w:sz="0" w:space="0" w:color="auto"/>
            <w:left w:val="none" w:sz="0" w:space="0" w:color="auto"/>
            <w:bottom w:val="none" w:sz="0" w:space="0" w:color="auto"/>
            <w:right w:val="none" w:sz="0" w:space="0" w:color="auto"/>
          </w:divBdr>
        </w:div>
        <w:div w:id="1307662473">
          <w:marLeft w:val="547"/>
          <w:marRight w:val="0"/>
          <w:marTop w:val="0"/>
          <w:marBottom w:val="0"/>
          <w:divBdr>
            <w:top w:val="none" w:sz="0" w:space="0" w:color="auto"/>
            <w:left w:val="none" w:sz="0" w:space="0" w:color="auto"/>
            <w:bottom w:val="none" w:sz="0" w:space="0" w:color="auto"/>
            <w:right w:val="none" w:sz="0" w:space="0" w:color="auto"/>
          </w:divBdr>
        </w:div>
      </w:divsChild>
    </w:div>
    <w:div w:id="1228422030">
      <w:bodyDiv w:val="1"/>
      <w:marLeft w:val="0"/>
      <w:marRight w:val="0"/>
      <w:marTop w:val="0"/>
      <w:marBottom w:val="0"/>
      <w:divBdr>
        <w:top w:val="none" w:sz="0" w:space="0" w:color="auto"/>
        <w:left w:val="none" w:sz="0" w:space="0" w:color="auto"/>
        <w:bottom w:val="none" w:sz="0" w:space="0" w:color="auto"/>
        <w:right w:val="none" w:sz="0" w:space="0" w:color="auto"/>
      </w:divBdr>
      <w:divsChild>
        <w:div w:id="1974099149">
          <w:marLeft w:val="0"/>
          <w:marRight w:val="0"/>
          <w:marTop w:val="0"/>
          <w:marBottom w:val="0"/>
          <w:divBdr>
            <w:top w:val="none" w:sz="0" w:space="0" w:color="auto"/>
            <w:left w:val="none" w:sz="0" w:space="0" w:color="auto"/>
            <w:bottom w:val="none" w:sz="0" w:space="0" w:color="auto"/>
            <w:right w:val="none" w:sz="0" w:space="0" w:color="auto"/>
          </w:divBdr>
          <w:divsChild>
            <w:div w:id="1301110620">
              <w:marLeft w:val="0"/>
              <w:marRight w:val="0"/>
              <w:marTop w:val="0"/>
              <w:marBottom w:val="0"/>
              <w:divBdr>
                <w:top w:val="none" w:sz="0" w:space="0" w:color="auto"/>
                <w:left w:val="none" w:sz="0" w:space="0" w:color="auto"/>
                <w:bottom w:val="none" w:sz="0" w:space="0" w:color="auto"/>
                <w:right w:val="none" w:sz="0" w:space="0" w:color="auto"/>
              </w:divBdr>
              <w:divsChild>
                <w:div w:id="14159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3827">
      <w:bodyDiv w:val="1"/>
      <w:marLeft w:val="0"/>
      <w:marRight w:val="0"/>
      <w:marTop w:val="0"/>
      <w:marBottom w:val="0"/>
      <w:divBdr>
        <w:top w:val="none" w:sz="0" w:space="0" w:color="auto"/>
        <w:left w:val="none" w:sz="0" w:space="0" w:color="auto"/>
        <w:bottom w:val="none" w:sz="0" w:space="0" w:color="auto"/>
        <w:right w:val="none" w:sz="0" w:space="0" w:color="auto"/>
      </w:divBdr>
    </w:div>
    <w:div w:id="1455447556">
      <w:bodyDiv w:val="1"/>
      <w:marLeft w:val="0"/>
      <w:marRight w:val="0"/>
      <w:marTop w:val="0"/>
      <w:marBottom w:val="0"/>
      <w:divBdr>
        <w:top w:val="none" w:sz="0" w:space="0" w:color="auto"/>
        <w:left w:val="none" w:sz="0" w:space="0" w:color="auto"/>
        <w:bottom w:val="none" w:sz="0" w:space="0" w:color="auto"/>
        <w:right w:val="none" w:sz="0" w:space="0" w:color="auto"/>
      </w:divBdr>
    </w:div>
    <w:div w:id="1471482714">
      <w:bodyDiv w:val="1"/>
      <w:marLeft w:val="0"/>
      <w:marRight w:val="0"/>
      <w:marTop w:val="0"/>
      <w:marBottom w:val="0"/>
      <w:divBdr>
        <w:top w:val="none" w:sz="0" w:space="0" w:color="auto"/>
        <w:left w:val="none" w:sz="0" w:space="0" w:color="auto"/>
        <w:bottom w:val="none" w:sz="0" w:space="0" w:color="auto"/>
        <w:right w:val="none" w:sz="0" w:space="0" w:color="auto"/>
      </w:divBdr>
      <w:divsChild>
        <w:div w:id="1061057881">
          <w:marLeft w:val="547"/>
          <w:marRight w:val="0"/>
          <w:marTop w:val="0"/>
          <w:marBottom w:val="0"/>
          <w:divBdr>
            <w:top w:val="none" w:sz="0" w:space="0" w:color="auto"/>
            <w:left w:val="none" w:sz="0" w:space="0" w:color="auto"/>
            <w:bottom w:val="none" w:sz="0" w:space="0" w:color="auto"/>
            <w:right w:val="none" w:sz="0" w:space="0" w:color="auto"/>
          </w:divBdr>
        </w:div>
        <w:div w:id="424762937">
          <w:marLeft w:val="547"/>
          <w:marRight w:val="0"/>
          <w:marTop w:val="0"/>
          <w:marBottom w:val="0"/>
          <w:divBdr>
            <w:top w:val="none" w:sz="0" w:space="0" w:color="auto"/>
            <w:left w:val="none" w:sz="0" w:space="0" w:color="auto"/>
            <w:bottom w:val="none" w:sz="0" w:space="0" w:color="auto"/>
            <w:right w:val="none" w:sz="0" w:space="0" w:color="auto"/>
          </w:divBdr>
        </w:div>
        <w:div w:id="1284189558">
          <w:marLeft w:val="547"/>
          <w:marRight w:val="0"/>
          <w:marTop w:val="0"/>
          <w:marBottom w:val="0"/>
          <w:divBdr>
            <w:top w:val="none" w:sz="0" w:space="0" w:color="auto"/>
            <w:left w:val="none" w:sz="0" w:space="0" w:color="auto"/>
            <w:bottom w:val="none" w:sz="0" w:space="0" w:color="auto"/>
            <w:right w:val="none" w:sz="0" w:space="0" w:color="auto"/>
          </w:divBdr>
        </w:div>
        <w:div w:id="608127630">
          <w:marLeft w:val="547"/>
          <w:marRight w:val="0"/>
          <w:marTop w:val="0"/>
          <w:marBottom w:val="0"/>
          <w:divBdr>
            <w:top w:val="none" w:sz="0" w:space="0" w:color="auto"/>
            <w:left w:val="none" w:sz="0" w:space="0" w:color="auto"/>
            <w:bottom w:val="none" w:sz="0" w:space="0" w:color="auto"/>
            <w:right w:val="none" w:sz="0" w:space="0" w:color="auto"/>
          </w:divBdr>
        </w:div>
      </w:divsChild>
    </w:div>
    <w:div w:id="1700813515">
      <w:bodyDiv w:val="1"/>
      <w:marLeft w:val="0"/>
      <w:marRight w:val="0"/>
      <w:marTop w:val="0"/>
      <w:marBottom w:val="0"/>
      <w:divBdr>
        <w:top w:val="none" w:sz="0" w:space="0" w:color="auto"/>
        <w:left w:val="none" w:sz="0" w:space="0" w:color="auto"/>
        <w:bottom w:val="none" w:sz="0" w:space="0" w:color="auto"/>
        <w:right w:val="none" w:sz="0" w:space="0" w:color="auto"/>
      </w:divBdr>
      <w:divsChild>
        <w:div w:id="1769151936">
          <w:marLeft w:val="0"/>
          <w:marRight w:val="0"/>
          <w:marTop w:val="0"/>
          <w:marBottom w:val="0"/>
          <w:divBdr>
            <w:top w:val="none" w:sz="0" w:space="0" w:color="auto"/>
            <w:left w:val="none" w:sz="0" w:space="0" w:color="auto"/>
            <w:bottom w:val="none" w:sz="0" w:space="0" w:color="auto"/>
            <w:right w:val="none" w:sz="0" w:space="0" w:color="auto"/>
          </w:divBdr>
          <w:divsChild>
            <w:div w:id="1497453603">
              <w:marLeft w:val="0"/>
              <w:marRight w:val="0"/>
              <w:marTop w:val="0"/>
              <w:marBottom w:val="0"/>
              <w:divBdr>
                <w:top w:val="none" w:sz="0" w:space="0" w:color="auto"/>
                <w:left w:val="none" w:sz="0" w:space="0" w:color="auto"/>
                <w:bottom w:val="none" w:sz="0" w:space="0" w:color="auto"/>
                <w:right w:val="none" w:sz="0" w:space="0" w:color="auto"/>
              </w:divBdr>
              <w:divsChild>
                <w:div w:id="1863781552">
                  <w:marLeft w:val="0"/>
                  <w:marRight w:val="0"/>
                  <w:marTop w:val="0"/>
                  <w:marBottom w:val="0"/>
                  <w:divBdr>
                    <w:top w:val="none" w:sz="0" w:space="0" w:color="auto"/>
                    <w:left w:val="none" w:sz="0" w:space="0" w:color="auto"/>
                    <w:bottom w:val="none" w:sz="0" w:space="0" w:color="auto"/>
                    <w:right w:val="none" w:sz="0" w:space="0" w:color="auto"/>
                  </w:divBdr>
                  <w:divsChild>
                    <w:div w:id="4059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4838">
      <w:bodyDiv w:val="1"/>
      <w:marLeft w:val="0"/>
      <w:marRight w:val="0"/>
      <w:marTop w:val="0"/>
      <w:marBottom w:val="0"/>
      <w:divBdr>
        <w:top w:val="none" w:sz="0" w:space="0" w:color="auto"/>
        <w:left w:val="none" w:sz="0" w:space="0" w:color="auto"/>
        <w:bottom w:val="none" w:sz="0" w:space="0" w:color="auto"/>
        <w:right w:val="none" w:sz="0" w:space="0" w:color="auto"/>
      </w:divBdr>
    </w:div>
    <w:div w:id="1946302285">
      <w:bodyDiv w:val="1"/>
      <w:marLeft w:val="0"/>
      <w:marRight w:val="0"/>
      <w:marTop w:val="0"/>
      <w:marBottom w:val="0"/>
      <w:divBdr>
        <w:top w:val="none" w:sz="0" w:space="0" w:color="auto"/>
        <w:left w:val="none" w:sz="0" w:space="0" w:color="auto"/>
        <w:bottom w:val="none" w:sz="0" w:space="0" w:color="auto"/>
        <w:right w:val="none" w:sz="0" w:space="0" w:color="auto"/>
      </w:divBdr>
      <w:divsChild>
        <w:div w:id="2033844937">
          <w:marLeft w:val="0"/>
          <w:marRight w:val="0"/>
          <w:marTop w:val="0"/>
          <w:marBottom w:val="0"/>
          <w:divBdr>
            <w:top w:val="none" w:sz="0" w:space="0" w:color="auto"/>
            <w:left w:val="none" w:sz="0" w:space="0" w:color="auto"/>
            <w:bottom w:val="none" w:sz="0" w:space="0" w:color="auto"/>
            <w:right w:val="none" w:sz="0" w:space="0" w:color="auto"/>
          </w:divBdr>
          <w:divsChild>
            <w:div w:id="1396666299">
              <w:marLeft w:val="0"/>
              <w:marRight w:val="0"/>
              <w:marTop w:val="0"/>
              <w:marBottom w:val="0"/>
              <w:divBdr>
                <w:top w:val="none" w:sz="0" w:space="0" w:color="auto"/>
                <w:left w:val="none" w:sz="0" w:space="0" w:color="auto"/>
                <w:bottom w:val="none" w:sz="0" w:space="0" w:color="auto"/>
                <w:right w:val="none" w:sz="0" w:space="0" w:color="auto"/>
              </w:divBdr>
              <w:divsChild>
                <w:div w:id="14807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www.wbginvestmentclimate.org/advisory-services/investment-generation/investment-policy-and-promotion/gipb/upload/Tourism-GIPB-report.pdf" TargetMode="External"/><Relationship Id="rId143" Type="http://schemas.openxmlformats.org/officeDocument/2006/relationships/hyperlink" Target="http://www.mdpi.com/journal/forests" TargetMode="External"/><Relationship Id="rId144" Type="http://schemas.openxmlformats.org/officeDocument/2006/relationships/hyperlink" Target="http://ppp.worldbank.org/public-private-partnership/legislation-regulation/laws/ppp-and-concession-laws" TargetMode="External"/><Relationship Id="rId145" Type="http://schemas.openxmlformats.org/officeDocument/2006/relationships/hyperlink" Target="http://tourisminvest.org/_manual/manual_workstream_stakeholder-mgt.html" TargetMode="External"/><Relationship Id="rId146" Type="http://schemas.openxmlformats.org/officeDocument/2006/relationships/hyperlink" Target="http://www.desertknights-mtb.com/tour-overview" TargetMode="External"/><Relationship Id="rId147" Type="http://schemas.openxmlformats.org/officeDocument/2006/relationships/hyperlink" Target="http://www.met.gov.na/SPAN/Pages/Concessions.aspx" TargetMode="External"/><Relationship Id="rId148" Type="http://schemas.openxmlformats.org/officeDocument/2006/relationships/hyperlink" Target="http://ppp.worldbank.org" TargetMode="External"/><Relationship Id="rId149" Type="http://schemas.openxmlformats.org/officeDocument/2006/relationships/hyperlink" Target="http://www.iucn.org/about/work/programmes/gpap_home/gpap_capacity2/gpap_bpg/?13959/Guidelines-for-applying-protected-area-management-categories" TargetMode="External"/><Relationship Id="rId180" Type="http://schemas.openxmlformats.org/officeDocument/2006/relationships/hyperlink" Target="http://www.slideshare.net/AnnaSpenceley/training-for-communities-tourism-concessions-ema-batey" TargetMode="External"/><Relationship Id="rId181" Type="http://schemas.openxmlformats.org/officeDocument/2006/relationships/hyperlink" Target="http://www.ppp.gov.za" TargetMode="External"/><Relationship Id="rId182" Type="http://schemas.openxmlformats.org/officeDocument/2006/relationships/hyperlink" Target="http://tourisminvest.org/_manual/downloads/Tips_on_Relationship_Management.pdf" TargetMode="External"/><Relationship Id="rId40" Type="http://schemas.openxmlformats.org/officeDocument/2006/relationships/diagramQuickStyle" Target="diagrams/quickStyle6.xml"/><Relationship Id="rId41" Type="http://schemas.openxmlformats.org/officeDocument/2006/relationships/diagramColors" Target="diagrams/colors6.xml"/><Relationship Id="rId42" Type="http://schemas.microsoft.com/office/2007/relationships/diagramDrawing" Target="diagrams/drawing6.xml"/><Relationship Id="rId43" Type="http://schemas.openxmlformats.org/officeDocument/2006/relationships/image" Target="media/image2.jpg"/><Relationship Id="rId44" Type="http://schemas.openxmlformats.org/officeDocument/2006/relationships/diagramData" Target="diagrams/data7.xml"/><Relationship Id="rId45" Type="http://schemas.openxmlformats.org/officeDocument/2006/relationships/diagramLayout" Target="diagrams/layout7.xml"/><Relationship Id="rId46" Type="http://schemas.openxmlformats.org/officeDocument/2006/relationships/diagramQuickStyle" Target="diagrams/quickStyle7.xml"/><Relationship Id="rId47" Type="http://schemas.openxmlformats.org/officeDocument/2006/relationships/diagramColors" Target="diagrams/colors7.xml"/><Relationship Id="rId48" Type="http://schemas.microsoft.com/office/2007/relationships/diagramDrawing" Target="diagrams/drawing7.xml"/><Relationship Id="rId49" Type="http://schemas.openxmlformats.org/officeDocument/2006/relationships/diagramData" Target="diagrams/data8.xml"/><Relationship Id="rId183" Type="http://schemas.openxmlformats.org/officeDocument/2006/relationships/hyperlink" Target="http://tourisminvest.org/_manual/downloads/Stakeholder_Engagement_Process_Toolkit.pdf" TargetMode="External"/><Relationship Id="rId184" Type="http://schemas.openxmlformats.org/officeDocument/2006/relationships/hyperlink" Target="http://www.met.gov.na/Documents/Guidelines%20for%20Concession%20Applicants.pdf" TargetMode="External"/><Relationship Id="rId185" Type="http://schemas.openxmlformats.org/officeDocument/2006/relationships/hyperlink" Target="http://www.slideshare.net/AnnaSpenceley/south-african-national-parks-concessions-processes-giju-" TargetMode="External"/><Relationship Id="rId186" Type="http://schemas.openxmlformats.org/officeDocument/2006/relationships/hyperlink" Target="http://www.asl-foundation.org/documents/SanParkspresentation-ASLFordFoundationMaY2008.pdf" TargetMode="External"/><Relationship Id="rId187" Type="http://schemas.openxmlformats.org/officeDocument/2006/relationships/hyperlink" Target="http://www.asl-foundation.org/documents/Madikwecasepresentation.pdf" TargetMode="External"/><Relationship Id="rId188" Type="http://schemas.openxmlformats.org/officeDocument/2006/relationships/hyperlink" Target="http://www.asl-foundation.org/documents/ConcessionsinNamibiasProtectedAreas.pdf" TargetMode="External"/><Relationship Id="rId189" Type="http://schemas.openxmlformats.org/officeDocument/2006/relationships/hyperlink" Target="http://www.asl-foundation.org/documents/Co-managementandConcessionsinNamibia.pdf" TargetMode="External"/><Relationship Id="rId80" Type="http://schemas.openxmlformats.org/officeDocument/2006/relationships/diagramLayout" Target="diagrams/layout14.xml"/><Relationship Id="rId81" Type="http://schemas.openxmlformats.org/officeDocument/2006/relationships/diagramQuickStyle" Target="diagrams/quickStyle14.xml"/><Relationship Id="rId82" Type="http://schemas.openxmlformats.org/officeDocument/2006/relationships/diagramColors" Target="diagrams/colors14.xml"/><Relationship Id="rId83" Type="http://schemas.microsoft.com/office/2007/relationships/diagramDrawing" Target="diagrams/drawing14.xml"/><Relationship Id="rId84" Type="http://schemas.openxmlformats.org/officeDocument/2006/relationships/diagramData" Target="diagrams/data15.xml"/><Relationship Id="rId85" Type="http://schemas.openxmlformats.org/officeDocument/2006/relationships/diagramLayout" Target="diagrams/layout15.xml"/><Relationship Id="rId86" Type="http://schemas.openxmlformats.org/officeDocument/2006/relationships/diagramQuickStyle" Target="diagrams/quickStyle15.xml"/><Relationship Id="rId87" Type="http://schemas.openxmlformats.org/officeDocument/2006/relationships/diagramColors" Target="diagrams/colors15.xml"/><Relationship Id="rId88" Type="http://schemas.microsoft.com/office/2007/relationships/diagramDrawing" Target="diagrams/drawing15.xml"/><Relationship Id="rId89" Type="http://schemas.openxmlformats.org/officeDocument/2006/relationships/image" Target="media/image3.emf"/><Relationship Id="rId110" Type="http://schemas.openxmlformats.org/officeDocument/2006/relationships/diagramData" Target="diagrams/data20.xml"/><Relationship Id="rId111" Type="http://schemas.openxmlformats.org/officeDocument/2006/relationships/diagramLayout" Target="diagrams/layout20.xml"/><Relationship Id="rId112" Type="http://schemas.openxmlformats.org/officeDocument/2006/relationships/diagramQuickStyle" Target="diagrams/quickStyle20.xml"/><Relationship Id="rId113" Type="http://schemas.openxmlformats.org/officeDocument/2006/relationships/diagramColors" Target="diagrams/colors20.xml"/><Relationship Id="rId114" Type="http://schemas.microsoft.com/office/2007/relationships/diagramDrawing" Target="diagrams/drawing20.xml"/><Relationship Id="rId115" Type="http://schemas.openxmlformats.org/officeDocument/2006/relationships/diagramData" Target="diagrams/data21.xml"/><Relationship Id="rId116" Type="http://schemas.openxmlformats.org/officeDocument/2006/relationships/diagramLayout" Target="diagrams/layout21.xml"/><Relationship Id="rId117" Type="http://schemas.openxmlformats.org/officeDocument/2006/relationships/diagramQuickStyle" Target="diagrams/quickStyle21.xml"/><Relationship Id="rId118" Type="http://schemas.openxmlformats.org/officeDocument/2006/relationships/diagramColors" Target="diagrams/colors21.xml"/><Relationship Id="rId119" Type="http://schemas.microsoft.com/office/2007/relationships/diagramDrawing" Target="diagrams/drawing21.xml"/><Relationship Id="rId150" Type="http://schemas.openxmlformats.org/officeDocument/2006/relationships/hyperlink" Target="http://www.iucn.org/about/work/programmes/gpap_home/gpap_capacity2/gpap_bpg/?11131/Guidelines-for-Applying-the-IUCN-Protected-Area-Management-Categories-to-Marine-Protected-Areas" TargetMode="External"/><Relationship Id="rId151" Type="http://schemas.openxmlformats.org/officeDocument/2006/relationships/hyperlink" Target="https://cmsdata.iucn.org/downloads/governance_web_1.pdf" TargetMode="External"/><Relationship Id="rId152" Type="http://schemas.openxmlformats.org/officeDocument/2006/relationships/hyperlink" Target="http://www.iucn.org/about/work/programmes/gpap_home/gpap_capacity2/gpap_bpg/?2166/Indigenous-and-Local-Communites-and-Protected-Areas-Towards-Equity-and-Enhanced-Conservation"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53" Type="http://schemas.openxmlformats.org/officeDocument/2006/relationships/hyperlink" Target="http://www.iucn.org/about/work/programmes/gpap_home/gpap_capacity2/gpap_bpg/?2167/Sustainable-tourism-in-protected-areas-guidelines-for-planning-and-management" TargetMode="External"/><Relationship Id="rId154" Type="http://schemas.openxmlformats.org/officeDocument/2006/relationships/hyperlink" Target="http://www.iucn.org/about/work/programmes/gpap_home/gpap_capacity2/gpap_bpg/" TargetMode="External"/><Relationship Id="rId155" Type="http://schemas.openxmlformats.org/officeDocument/2006/relationships/hyperlink" Target="http://www.ifc.org/wps/wcm/connect/8b97918048855795bcf4fe6a6515bb18/Tourism%2Band%2BHospitality.pdf?MOD=AJPERES&amp;CACHEID=8b97918048855795bcf4fe6a6515bb18" TargetMode="External"/><Relationship Id="rId156" Type="http://schemas.openxmlformats.org/officeDocument/2006/relationships/hyperlink" Target="http://www.eceat-projects.org/tourism-manual" TargetMode="External"/><Relationship Id="rId157" Type="http://schemas.openxmlformats.org/officeDocument/2006/relationships/hyperlink" Target="http://sdt.unwto.org/en/content/ecotourism-and-protected-areas" TargetMode="External"/><Relationship Id="rId158" Type="http://schemas.openxmlformats.org/officeDocument/2006/relationships/hyperlink" Target="http://www.e-unwto.org/content/j6584k/?p=4c0fc713d75748e18e6501fe8237f499&amp;pi=9" TargetMode="External"/><Relationship Id="rId159" Type="http://schemas.openxmlformats.org/officeDocument/2006/relationships/hyperlink" Target="http://www.e-unwto.org/content/w715w4/?p=0ef9688179a94fb08c63036081aa68ea&amp;pi=1" TargetMode="External"/><Relationship Id="rId190" Type="http://schemas.openxmlformats.org/officeDocument/2006/relationships/hyperlink" Target="http://www.anna.spenceley.co.uk/files/TorraConservancycasepresentation.pdf" TargetMode="External"/><Relationship Id="rId191" Type="http://schemas.openxmlformats.org/officeDocument/2006/relationships/hyperlink" Target="http://www.doc.govt.nz/about-doc/concessions-and-permits/concessions/" TargetMode="External"/><Relationship Id="rId192" Type="http://schemas.openxmlformats.org/officeDocument/2006/relationships/hyperlink" Target="http://perc.org/articles/tale-two-parks" TargetMode="External"/><Relationship Id="rId50" Type="http://schemas.openxmlformats.org/officeDocument/2006/relationships/diagramLayout" Target="diagrams/layout8.xml"/><Relationship Id="rId51" Type="http://schemas.openxmlformats.org/officeDocument/2006/relationships/diagramQuickStyle" Target="diagrams/quickStyle8.xml"/><Relationship Id="rId52" Type="http://schemas.openxmlformats.org/officeDocument/2006/relationships/diagramColors" Target="diagrams/colors8.xml"/><Relationship Id="rId53" Type="http://schemas.microsoft.com/office/2007/relationships/diagramDrawing" Target="diagrams/drawing8.xml"/><Relationship Id="rId54" Type="http://schemas.openxmlformats.org/officeDocument/2006/relationships/diagramData" Target="diagrams/data9.xml"/><Relationship Id="rId55" Type="http://schemas.openxmlformats.org/officeDocument/2006/relationships/diagramLayout" Target="diagrams/layout9.xml"/><Relationship Id="rId56" Type="http://schemas.openxmlformats.org/officeDocument/2006/relationships/diagramQuickStyle" Target="diagrams/quickStyle9.xml"/><Relationship Id="rId57" Type="http://schemas.openxmlformats.org/officeDocument/2006/relationships/diagramColors" Target="diagrams/colors9.xml"/><Relationship Id="rId58" Type="http://schemas.microsoft.com/office/2007/relationships/diagramDrawing" Target="diagrams/drawing9.xml"/><Relationship Id="rId59" Type="http://schemas.openxmlformats.org/officeDocument/2006/relationships/diagramData" Target="diagrams/data10.xml"/><Relationship Id="rId193" Type="http://schemas.openxmlformats.org/officeDocument/2006/relationships/hyperlink" Target="http://www.slideshare.net/AnnaSpenceley/south-african-national-parks-concessions-processes-giju-varghese" TargetMode="External"/><Relationship Id="rId194" Type="http://schemas.openxmlformats.org/officeDocument/2006/relationships/fontTable" Target="fontTable.xml"/><Relationship Id="rId195" Type="http://schemas.openxmlformats.org/officeDocument/2006/relationships/theme" Target="theme/theme1.xml"/><Relationship Id="rId90" Type="http://schemas.openxmlformats.org/officeDocument/2006/relationships/diagramData" Target="diagrams/data16.xml"/><Relationship Id="rId91" Type="http://schemas.openxmlformats.org/officeDocument/2006/relationships/diagramLayout" Target="diagrams/layout16.xml"/><Relationship Id="rId92" Type="http://schemas.openxmlformats.org/officeDocument/2006/relationships/diagramQuickStyle" Target="diagrams/quickStyle16.xml"/><Relationship Id="rId93" Type="http://schemas.openxmlformats.org/officeDocument/2006/relationships/diagramColors" Target="diagrams/colors16.xml"/><Relationship Id="rId94" Type="http://schemas.microsoft.com/office/2007/relationships/diagramDrawing" Target="diagrams/drawing16.xml"/><Relationship Id="rId95" Type="http://schemas.openxmlformats.org/officeDocument/2006/relationships/diagramData" Target="diagrams/data17.xml"/><Relationship Id="rId96" Type="http://schemas.openxmlformats.org/officeDocument/2006/relationships/diagramLayout" Target="diagrams/layout17.xml"/><Relationship Id="rId97" Type="http://schemas.openxmlformats.org/officeDocument/2006/relationships/diagramQuickStyle" Target="diagrams/quickStyle17.xml"/><Relationship Id="rId98" Type="http://schemas.openxmlformats.org/officeDocument/2006/relationships/diagramColors" Target="diagrams/colors17.xml"/><Relationship Id="rId99" Type="http://schemas.microsoft.com/office/2007/relationships/diagramDrawing" Target="diagrams/drawing17.xml"/><Relationship Id="rId120" Type="http://schemas.openxmlformats.org/officeDocument/2006/relationships/diagramData" Target="diagrams/data22.xml"/><Relationship Id="rId121" Type="http://schemas.openxmlformats.org/officeDocument/2006/relationships/diagramLayout" Target="diagrams/layout22.xml"/><Relationship Id="rId122" Type="http://schemas.openxmlformats.org/officeDocument/2006/relationships/diagramQuickStyle" Target="diagrams/quickStyle22.xml"/><Relationship Id="rId123" Type="http://schemas.openxmlformats.org/officeDocument/2006/relationships/diagramColors" Target="diagrams/colors22.xml"/><Relationship Id="rId124" Type="http://schemas.microsoft.com/office/2007/relationships/diagramDrawing" Target="diagrams/drawing22.xml"/><Relationship Id="rId125" Type="http://schemas.openxmlformats.org/officeDocument/2006/relationships/diagramData" Target="diagrams/data23.xml"/><Relationship Id="rId126" Type="http://schemas.openxmlformats.org/officeDocument/2006/relationships/diagramLayout" Target="diagrams/layout23.xml"/><Relationship Id="rId127" Type="http://schemas.openxmlformats.org/officeDocument/2006/relationships/diagramQuickStyle" Target="diagrams/quickStyle23.xml"/><Relationship Id="rId128" Type="http://schemas.openxmlformats.org/officeDocument/2006/relationships/diagramColors" Target="diagrams/colors23.xml"/><Relationship Id="rId129" Type="http://schemas.microsoft.com/office/2007/relationships/diagramDrawing" Target="diagrams/drawing23.xml"/><Relationship Id="rId160" Type="http://schemas.openxmlformats.org/officeDocument/2006/relationships/hyperlink" Target="http://cmsdata.iucn.org/downloads/iucn_hotel_guide_final.pdf" TargetMode="External"/><Relationship Id="rId161" Type="http://schemas.openxmlformats.org/officeDocument/2006/relationships/hyperlink" Target="http://www.e-" TargetMode="External"/><Relationship Id="rId162" Type="http://schemas.openxmlformats.org/officeDocument/2006/relationships/hyperlink" Target="http://www.ifc.org/wps/wcm/connect/938f1a0048855805beacfe6a6515bb18/IFC_StakeholderEngagement.pdf?MOD=AJPERES"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diagramData" Target="diagrams/data4.xml"/><Relationship Id="rId29" Type="http://schemas.openxmlformats.org/officeDocument/2006/relationships/diagramLayout" Target="diagrams/layout4.xml"/><Relationship Id="rId163" Type="http://schemas.openxmlformats.org/officeDocument/2006/relationships/hyperlink" Target="http://tourisminvest.org/_manual/downloads/Approach_to_Investment_Facilitation.pdf" TargetMode="External"/><Relationship Id="rId164" Type="http://schemas.openxmlformats.org/officeDocument/2006/relationships/hyperlink" Target="http://ppp.worldbank.org" TargetMode="External"/><Relationship Id="rId165" Type="http://schemas.openxmlformats.org/officeDocument/2006/relationships/hyperlink" Target="http://tourisminvest.org/_manual/downloads/Template_for_annotated_investor_long-list.xls" TargetMode="External"/><Relationship Id="rId166" Type="http://schemas.openxmlformats.org/officeDocument/2006/relationships/hyperlink" Target="http://www.iucn.org/about/work/programmes/gpap_home/gpap_capacity2/gpap_bpg/?2166/Indigenous-and-Local-Communites-and-Protected-Areas-Towards-Equity-and-Enhanced-Conservation" TargetMode="External"/><Relationship Id="rId167" Type="http://schemas.openxmlformats.org/officeDocument/2006/relationships/hyperlink" Target="http://www.anna.spenceley.co.uk/files/WSReport.pdf" TargetMode="External"/><Relationship Id="rId168" Type="http://schemas.openxmlformats.org/officeDocument/2006/relationships/hyperlink" Target="http://www.odi.org.uk/sites/odi.org.uk/files/odi-assets/publications-opinion-files/3246.pdf" TargetMode="External"/><Relationship Id="rId169" Type="http://schemas.openxmlformats.org/officeDocument/2006/relationships/hyperlink" Target="http://www.odi.org.uk/sites/odi.org.uk/files/odi-assets/publications-opinion-files/2348.pdf" TargetMode="External"/><Relationship Id="rId60" Type="http://schemas.openxmlformats.org/officeDocument/2006/relationships/diagramLayout" Target="diagrams/layout10.xml"/><Relationship Id="rId61" Type="http://schemas.openxmlformats.org/officeDocument/2006/relationships/diagramQuickStyle" Target="diagrams/quickStyle10.xml"/><Relationship Id="rId62" Type="http://schemas.openxmlformats.org/officeDocument/2006/relationships/diagramColors" Target="diagrams/colors10.xml"/><Relationship Id="rId63" Type="http://schemas.microsoft.com/office/2007/relationships/diagramDrawing" Target="diagrams/drawing10.xml"/><Relationship Id="rId64" Type="http://schemas.openxmlformats.org/officeDocument/2006/relationships/diagramData" Target="diagrams/data11.xml"/><Relationship Id="rId65" Type="http://schemas.openxmlformats.org/officeDocument/2006/relationships/diagramLayout" Target="diagrams/layout11.xml"/><Relationship Id="rId66" Type="http://schemas.openxmlformats.org/officeDocument/2006/relationships/diagramQuickStyle" Target="diagrams/quickStyle11.xml"/><Relationship Id="rId67" Type="http://schemas.openxmlformats.org/officeDocument/2006/relationships/diagramColors" Target="diagrams/colors11.xml"/><Relationship Id="rId68" Type="http://schemas.microsoft.com/office/2007/relationships/diagramDrawing" Target="diagrams/drawing11.xml"/><Relationship Id="rId69" Type="http://schemas.openxmlformats.org/officeDocument/2006/relationships/diagramData" Target="diagrams/data12.xml"/><Relationship Id="rId130" Type="http://schemas.openxmlformats.org/officeDocument/2006/relationships/diagramData" Target="diagrams/data24.xml"/><Relationship Id="rId131" Type="http://schemas.openxmlformats.org/officeDocument/2006/relationships/diagramLayout" Target="diagrams/layout24.xml"/><Relationship Id="rId132" Type="http://schemas.openxmlformats.org/officeDocument/2006/relationships/diagramQuickStyle" Target="diagrams/quickStyle24.xml"/><Relationship Id="rId133" Type="http://schemas.openxmlformats.org/officeDocument/2006/relationships/diagramColors" Target="diagrams/colors24.xml"/><Relationship Id="rId134" Type="http://schemas.microsoft.com/office/2007/relationships/diagramDrawing" Target="diagrams/drawing24.xml"/><Relationship Id="rId135" Type="http://schemas.openxmlformats.org/officeDocument/2006/relationships/hyperlink" Target="https://www.albertacanada.com/files/albertacanada/2-Business_Planning_Guide.pdf" TargetMode="External"/><Relationship Id="rId136" Type="http://schemas.openxmlformats.org/officeDocument/2006/relationships/hyperlink" Target="http://www.odi.org.uk/sites/odi.org.uk/files/odi-assets/publications-opinion-files/2861.pdf" TargetMode="External"/><Relationship Id="rId137" Type="http://schemas.openxmlformats.org/officeDocument/2006/relationships/hyperlink" Target="http://www.slideshare.net/AnnaSpenceley/chemucane-maputo-special-reserve-steve-collins" TargetMode="External"/><Relationship Id="rId138" Type="http://schemas.openxmlformats.org/officeDocument/2006/relationships/hyperlink" Target="http://www.met.gov.na/Documents/Concession%20Policy%20flyer.pdf" TargetMode="External"/><Relationship Id="rId139" Type="http://schemas.openxmlformats.org/officeDocument/2006/relationships/hyperlink" Target="http://www.sanparks.org/assets/docs/general/annual-report-2012.pdf" TargetMode="External"/><Relationship Id="rId170" Type="http://schemas.openxmlformats.org/officeDocument/2006/relationships/hyperlink" Target="http://www.iucn.org/about/work/programmes/gpap_home/gpap_capacity2/gpap_bpg/?2166/Indigenous-and-Local-Communites-and-Protected-Areas-Towards-Equity-and-Enhanced-Conservation" TargetMode="External"/><Relationship Id="rId171" Type="http://schemas.openxmlformats.org/officeDocument/2006/relationships/hyperlink" Target="http://www.nacso.org.na/dwnlds/refs/WWF-MET%25" TargetMode="External"/><Relationship Id="rId172" Type="http://schemas.openxmlformats.org/officeDocument/2006/relationships/hyperlink" Target="http://tourisminvest.org/_manual/downloads/MER-Investment-Strategy.pdf" TargetMode="External"/><Relationship Id="rId30" Type="http://schemas.openxmlformats.org/officeDocument/2006/relationships/diagramQuickStyle" Target="diagrams/quickStyle4.xml"/><Relationship Id="rId31" Type="http://schemas.openxmlformats.org/officeDocument/2006/relationships/diagramColors" Target="diagrams/colors4.xml"/><Relationship Id="rId32" Type="http://schemas.microsoft.com/office/2007/relationships/diagramDrawing" Target="diagrams/drawing4.xml"/><Relationship Id="rId33" Type="http://schemas.openxmlformats.org/officeDocument/2006/relationships/diagramData" Target="diagrams/data5.xml"/><Relationship Id="rId34" Type="http://schemas.openxmlformats.org/officeDocument/2006/relationships/diagramLayout" Target="diagrams/layout5.xml"/><Relationship Id="rId35" Type="http://schemas.openxmlformats.org/officeDocument/2006/relationships/diagramQuickStyle" Target="diagrams/quickStyle5.xml"/><Relationship Id="rId36" Type="http://schemas.openxmlformats.org/officeDocument/2006/relationships/diagramColors" Target="diagrams/colors5.xml"/><Relationship Id="rId37" Type="http://schemas.microsoft.com/office/2007/relationships/diagramDrawing" Target="diagrams/drawing5.xml"/><Relationship Id="rId38" Type="http://schemas.openxmlformats.org/officeDocument/2006/relationships/diagramData" Target="diagrams/data6.xml"/><Relationship Id="rId39" Type="http://schemas.openxmlformats.org/officeDocument/2006/relationships/diagramLayout" Target="diagrams/layout6.xml"/><Relationship Id="rId173" Type="http://schemas.openxmlformats.org/officeDocument/2006/relationships/hyperlink" Target="http://tourisminvest.org/_manual/downloads/ifc-advert-final.pdf" TargetMode="External"/><Relationship Id="rId174" Type="http://schemas.openxmlformats.org/officeDocument/2006/relationships/hyperlink" Target="http://tourisminvest.org/_manual/downloads/Anchor_Sites_Brochure.pdf" TargetMode="External"/><Relationship Id="rId175" Type="http://schemas.openxmlformats.org/officeDocument/2006/relationships/hyperlink" Target="http://tourisminvest.org/_manual/downloads/final-posters.pdf" TargetMode="External"/><Relationship Id="rId176" Type="http://schemas.openxmlformats.org/officeDocument/2006/relationships/hyperlink" Target="http://tourisminvest.org/_manual/downloads/Press_release_international-launch.pdf" TargetMode="External"/><Relationship Id="rId177" Type="http://schemas.openxmlformats.org/officeDocument/2006/relationships/hyperlink" Target="http://tourisminvest.org/_manual/downloads/Investor-criteria-brief.pdf" TargetMode="External"/><Relationship Id="rId178" Type="http://schemas.openxmlformats.org/officeDocument/2006/relationships/hyperlink" Target="http://www.met.gov.na/Documents/Guidelines%20for%20Concession%20Applicants.pdf" TargetMode="External"/><Relationship Id="rId179" Type="http://schemas.openxmlformats.org/officeDocument/2006/relationships/hyperlink" Target="http://www.slideshare.net/AnnaSpenceley/gorongosa-concession-bartolomeu-soto" TargetMode="External"/><Relationship Id="rId70" Type="http://schemas.openxmlformats.org/officeDocument/2006/relationships/diagramLayout" Target="diagrams/layout12.xml"/><Relationship Id="rId71" Type="http://schemas.openxmlformats.org/officeDocument/2006/relationships/diagramQuickStyle" Target="diagrams/quickStyle12.xml"/><Relationship Id="rId72" Type="http://schemas.openxmlformats.org/officeDocument/2006/relationships/diagramColors" Target="diagrams/colors12.xml"/><Relationship Id="rId73" Type="http://schemas.microsoft.com/office/2007/relationships/diagramDrawing" Target="diagrams/drawing12.xml"/><Relationship Id="rId74" Type="http://schemas.openxmlformats.org/officeDocument/2006/relationships/diagramData" Target="diagrams/data13.xml"/><Relationship Id="rId75" Type="http://schemas.openxmlformats.org/officeDocument/2006/relationships/diagramLayout" Target="diagrams/layout13.xml"/><Relationship Id="rId76" Type="http://schemas.openxmlformats.org/officeDocument/2006/relationships/diagramQuickStyle" Target="diagrams/quickStyle13.xml"/><Relationship Id="rId77" Type="http://schemas.openxmlformats.org/officeDocument/2006/relationships/diagramColors" Target="diagrams/colors13.xml"/><Relationship Id="rId78" Type="http://schemas.microsoft.com/office/2007/relationships/diagramDrawing" Target="diagrams/drawing13.xml"/><Relationship Id="rId79" Type="http://schemas.openxmlformats.org/officeDocument/2006/relationships/diagramData" Target="diagrams/data1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diagramData" Target="diagrams/data18.xml"/><Relationship Id="rId101" Type="http://schemas.openxmlformats.org/officeDocument/2006/relationships/diagramLayout" Target="diagrams/layout18.xml"/><Relationship Id="rId102" Type="http://schemas.openxmlformats.org/officeDocument/2006/relationships/diagramQuickStyle" Target="diagrams/quickStyle18.xml"/><Relationship Id="rId103" Type="http://schemas.openxmlformats.org/officeDocument/2006/relationships/diagramColors" Target="diagrams/colors18.xml"/><Relationship Id="rId104" Type="http://schemas.microsoft.com/office/2007/relationships/diagramDrawing" Target="diagrams/drawing18.xml"/><Relationship Id="rId105" Type="http://schemas.openxmlformats.org/officeDocument/2006/relationships/diagramData" Target="diagrams/data19.xml"/><Relationship Id="rId106" Type="http://schemas.openxmlformats.org/officeDocument/2006/relationships/diagramLayout" Target="diagrams/layout19.xml"/><Relationship Id="rId107" Type="http://schemas.openxmlformats.org/officeDocument/2006/relationships/diagramQuickStyle" Target="diagrams/quickStyle19.xml"/><Relationship Id="rId108" Type="http://schemas.openxmlformats.org/officeDocument/2006/relationships/diagramColors" Target="diagrams/colors19.xml"/><Relationship Id="rId109" Type="http://schemas.microsoft.com/office/2007/relationships/diagramDrawing" Target="diagrams/drawing19.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hyperlink" Target="http://www.sadc.int/documents-publications/show/Protocol%20on%20Wildlife%20Conservation%20and%20Law%20Enforcement%20(1999" TargetMode="External"/><Relationship Id="rId141" Type="http://schemas.openxmlformats.org/officeDocument/2006/relationships/hyperlink" Target="http://awsassets.panda.org/downloads/stakeholder_engagemen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esertknights-mtb.com/tour-overview" TargetMode="External"/><Relationship Id="rId4" Type="http://schemas.openxmlformats.org/officeDocument/2006/relationships/hyperlink" Target="http://www.odi.org.uk/sites/odi.org.uk/files/odi-assets/publications-opinion-files/2861.pdf" TargetMode="External"/><Relationship Id="rId5" Type="http://schemas.openxmlformats.org/officeDocument/2006/relationships/hyperlink" Target="http://www.sanparks.org/assets/docs/general/annual-report-2012.pdf" TargetMode="External"/><Relationship Id="rId6" Type="http://schemas.openxmlformats.org/officeDocument/2006/relationships/hyperlink" Target="http://www.oanda.com" TargetMode="External"/><Relationship Id="rId7" Type="http://schemas.openxmlformats.org/officeDocument/2006/relationships/hyperlink" Target="http://www.met.gov.na/SPAN/Pages/Concessions.aspx" TargetMode="External"/><Relationship Id="rId8" Type="http://schemas.openxmlformats.org/officeDocument/2006/relationships/hyperlink" Target="https://www.wbginvestmentclimate.org/advisory-services/investment-generation/investment-policy-and-promotion/gipb/upload/Tourism-GIPB-report.pdf" TargetMode="External"/><Relationship Id="rId9" Type="http://schemas.openxmlformats.org/officeDocument/2006/relationships/hyperlink" Target="http://www.mdpi.com/journal/forests" TargetMode="External"/><Relationship Id="rId10" Type="http://schemas.openxmlformats.org/officeDocument/2006/relationships/hyperlink" Target="http://www.krugerpark.co.za/krugerpark-times-e-1-hunting-help-protect-wildlife-south-africa-25045.html" TargetMode="External"/><Relationship Id="rId1" Type="http://schemas.openxmlformats.org/officeDocument/2006/relationships/hyperlink" Target="http://www.sadc.int/documents-publications/show/Protocol%20on%20Wildlife%20Conservation%20and%20Law%20Enforcement%20(1999" TargetMode="External"/><Relationship Id="rId2" Type="http://schemas.openxmlformats.org/officeDocument/2006/relationships/hyperlink" Target="https://www.wbginvestmentclimate.org/advisory-services/investment-generation/investment-policy-and-promotion/gipb/upload/Tourism-GIPB-repor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1: Scoping</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Goals, motivations and objectives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Concessions experience</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7229D938-C19D-154D-BABD-2F119A0D2959}">
      <dgm:prSet phldrT="[Text]"/>
      <dgm:spPr/>
      <dgm:t>
        <a:bodyPr/>
        <a:lstStyle/>
        <a:p>
          <a:r>
            <a:rPr lang="en-US"/>
            <a:t>Step 2: Design and Feasibility</a:t>
          </a:r>
        </a:p>
      </dgm:t>
    </dgm:pt>
    <dgm:pt modelId="{27AD5E26-A1E5-2645-9957-EF4561C4E732}" type="parTrans" cxnId="{4E36DC14-7B64-0149-BF3C-BB77E4129F4C}">
      <dgm:prSet/>
      <dgm:spPr/>
      <dgm:t>
        <a:bodyPr/>
        <a:lstStyle/>
        <a:p>
          <a:endParaRPr lang="en-US"/>
        </a:p>
      </dgm:t>
    </dgm:pt>
    <dgm:pt modelId="{B1752ACC-18F3-484E-AA5A-3BCAB0C1FF5D}" type="sibTrans" cxnId="{4E36DC14-7B64-0149-BF3C-BB77E4129F4C}">
      <dgm:prSet/>
      <dgm:spPr/>
      <dgm:t>
        <a:bodyPr/>
        <a:lstStyle/>
        <a:p>
          <a:endParaRPr lang="en-US"/>
        </a:p>
      </dgm:t>
    </dgm:pt>
    <dgm:pt modelId="{474CEA97-7CE1-1945-9268-299E403F8210}">
      <dgm:prSet phldrT="[Text]" custT="1"/>
      <dgm:spPr/>
      <dgm:t>
        <a:bodyPr/>
        <a:lstStyle/>
        <a:p>
          <a:r>
            <a:rPr lang="en-US" sz="800"/>
            <a:t>Policy and legislative framework</a:t>
          </a:r>
        </a:p>
      </dgm:t>
    </dgm:pt>
    <dgm:pt modelId="{661B1391-BF60-214B-87AF-CEC7DAFCF8C3}" type="parTrans" cxnId="{0E747366-1B7B-8A45-838D-FEE62590EFF6}">
      <dgm:prSet/>
      <dgm:spPr/>
      <dgm:t>
        <a:bodyPr/>
        <a:lstStyle/>
        <a:p>
          <a:endParaRPr lang="en-US"/>
        </a:p>
      </dgm:t>
    </dgm:pt>
    <dgm:pt modelId="{5319A32D-A952-0A4C-9A8F-821A43B53B67}" type="sibTrans" cxnId="{0E747366-1B7B-8A45-838D-FEE62590EFF6}">
      <dgm:prSet/>
      <dgm:spPr/>
      <dgm:t>
        <a:bodyPr/>
        <a:lstStyle/>
        <a:p>
          <a:endParaRPr lang="en-US"/>
        </a:p>
      </dgm:t>
    </dgm:pt>
    <dgm:pt modelId="{0E7B5FA1-DFD2-F749-978B-014FEE5862EF}">
      <dgm:prSet phldrT="[Text]" custT="1"/>
      <dgm:spPr/>
      <dgm:t>
        <a:bodyPr/>
        <a:lstStyle/>
        <a:p>
          <a:r>
            <a:rPr lang="en-US" sz="800"/>
            <a:t>Viability and market assessment</a:t>
          </a:r>
        </a:p>
      </dgm:t>
    </dgm:pt>
    <dgm:pt modelId="{D4A94061-F98D-7F4F-868A-AD4FC149D7F3}" type="parTrans" cxnId="{A4775AA6-37C0-9747-A677-2420E2AA270F}">
      <dgm:prSet/>
      <dgm:spPr/>
      <dgm:t>
        <a:bodyPr/>
        <a:lstStyle/>
        <a:p>
          <a:endParaRPr lang="en-US"/>
        </a:p>
      </dgm:t>
    </dgm:pt>
    <dgm:pt modelId="{519F0779-528B-804F-9BAE-E4B85470133A}" type="sibTrans" cxnId="{A4775AA6-37C0-9747-A677-2420E2AA270F}">
      <dgm:prSet/>
      <dgm:spPr/>
      <dgm:t>
        <a:bodyPr/>
        <a:lstStyle/>
        <a:p>
          <a:endParaRPr lang="en-US"/>
        </a:p>
      </dgm:t>
    </dgm:pt>
    <dgm:pt modelId="{AAD77D7D-FB64-9544-89A1-E67BEE948839}">
      <dgm:prSet phldrT="[Text]"/>
      <dgm:spPr/>
      <dgm:t>
        <a:bodyPr/>
        <a:lstStyle/>
        <a:p>
          <a:r>
            <a:rPr lang="en-US"/>
            <a:t>Step 3: Procurement strategy</a:t>
          </a:r>
        </a:p>
      </dgm:t>
    </dgm:pt>
    <dgm:pt modelId="{E62B27BF-D095-BF41-A540-1F785916C01F}" type="parTrans" cxnId="{4CC825F8-8226-5D43-AA3A-9C85EE2AF458}">
      <dgm:prSet/>
      <dgm:spPr/>
      <dgm:t>
        <a:bodyPr/>
        <a:lstStyle/>
        <a:p>
          <a:endParaRPr lang="en-US"/>
        </a:p>
      </dgm:t>
    </dgm:pt>
    <dgm:pt modelId="{AD8807D2-43EE-CF42-BB41-C46BD1CCB200}" type="sibTrans" cxnId="{4CC825F8-8226-5D43-AA3A-9C85EE2AF458}">
      <dgm:prSet/>
      <dgm:spPr/>
      <dgm:t>
        <a:bodyPr/>
        <a:lstStyle/>
        <a:p>
          <a:endParaRPr lang="en-US"/>
        </a:p>
      </dgm:t>
    </dgm:pt>
    <dgm:pt modelId="{537B3A1D-6C92-FE48-9B42-268D99FB5323}">
      <dgm:prSet phldrT="[Text]" custT="1"/>
      <dgm:spPr/>
      <dgm:t>
        <a:bodyPr/>
        <a:lstStyle/>
        <a:p>
          <a:r>
            <a:rPr lang="en-US" sz="800"/>
            <a:t>Investment strategy</a:t>
          </a:r>
        </a:p>
      </dgm:t>
    </dgm:pt>
    <dgm:pt modelId="{78449643-4073-844A-8110-8E6AD8EF9DAD}" type="parTrans" cxnId="{BCEAA083-3406-3E45-B028-74C3235239C6}">
      <dgm:prSet/>
      <dgm:spPr/>
      <dgm:t>
        <a:bodyPr/>
        <a:lstStyle/>
        <a:p>
          <a:endParaRPr lang="en-US"/>
        </a:p>
      </dgm:t>
    </dgm:pt>
    <dgm:pt modelId="{E8871910-7504-2E4A-9B08-E48146F6C849}" type="sibTrans" cxnId="{BCEAA083-3406-3E45-B028-74C3235239C6}">
      <dgm:prSet/>
      <dgm:spPr/>
      <dgm:t>
        <a:bodyPr/>
        <a:lstStyle/>
        <a:p>
          <a:endParaRPr lang="en-US"/>
        </a:p>
      </dgm:t>
    </dgm:pt>
    <dgm:pt modelId="{BA1A9D59-086C-1043-A5EC-CA39CB7604F5}">
      <dgm:prSet phldrT="[Text]" custT="1"/>
      <dgm:spPr/>
      <dgm:t>
        <a:bodyPr/>
        <a:lstStyle/>
        <a:p>
          <a:r>
            <a:rPr lang="en-US" sz="800"/>
            <a:t>Potential barriers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Whether to proceed or not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E6FA5C1B-67E5-5448-8925-C921DA6D225F}">
      <dgm:prSet phldrT="[Text]" custT="1"/>
      <dgm:spPr/>
      <dgm:t>
        <a:bodyPr/>
        <a:lstStyle/>
        <a:p>
          <a:r>
            <a:rPr lang="en-US" sz="800"/>
            <a:t>Spatial planning</a:t>
          </a:r>
        </a:p>
      </dgm:t>
    </dgm:pt>
    <dgm:pt modelId="{F4DFD421-CC41-9245-8705-1D80139BBC7D}" type="parTrans" cxnId="{39E404D7-5ABD-1749-B054-90824D4AFB1F}">
      <dgm:prSet/>
      <dgm:spPr/>
      <dgm:t>
        <a:bodyPr/>
        <a:lstStyle/>
        <a:p>
          <a:endParaRPr lang="en-US"/>
        </a:p>
      </dgm:t>
    </dgm:pt>
    <dgm:pt modelId="{68B04A37-D14D-3948-A7E2-71D3FCBFD985}" type="sibTrans" cxnId="{39E404D7-5ABD-1749-B054-90824D4AFB1F}">
      <dgm:prSet/>
      <dgm:spPr/>
      <dgm:t>
        <a:bodyPr/>
        <a:lstStyle/>
        <a:p>
          <a:endParaRPr lang="en-US"/>
        </a:p>
      </dgm:t>
    </dgm:pt>
    <dgm:pt modelId="{59911300-3C3E-B04D-AD08-F60F35935997}">
      <dgm:prSet phldrT="[Text]" custT="1"/>
      <dgm:spPr/>
      <dgm:t>
        <a:bodyPr/>
        <a:lstStyle/>
        <a:p>
          <a:r>
            <a:rPr lang="en-US" sz="800"/>
            <a:t>Tourism product types</a:t>
          </a:r>
        </a:p>
      </dgm:t>
    </dgm:pt>
    <dgm:pt modelId="{B57FCF70-0742-A74B-A2E5-4B28AF22906C}" type="parTrans" cxnId="{7400D308-AF9D-1840-89F6-2E40E460F4F2}">
      <dgm:prSet/>
      <dgm:spPr/>
      <dgm:t>
        <a:bodyPr/>
        <a:lstStyle/>
        <a:p>
          <a:endParaRPr lang="en-US"/>
        </a:p>
      </dgm:t>
    </dgm:pt>
    <dgm:pt modelId="{22EE31D5-C488-9941-ABA2-8F9E07A86977}" type="sibTrans" cxnId="{7400D308-AF9D-1840-89F6-2E40E460F4F2}">
      <dgm:prSet/>
      <dgm:spPr/>
      <dgm:t>
        <a:bodyPr/>
        <a:lstStyle/>
        <a:p>
          <a:endParaRPr lang="en-US"/>
        </a:p>
      </dgm:t>
    </dgm:pt>
    <dgm:pt modelId="{AC1AC31F-9877-4944-B8E1-00A9E50328F9}">
      <dgm:prSet phldrT="[Text]" custT="1"/>
      <dgm:spPr/>
      <dgm:t>
        <a:bodyPr/>
        <a:lstStyle/>
        <a:p>
          <a:r>
            <a:rPr lang="en-US" sz="800"/>
            <a:t>Concession model selection</a:t>
          </a:r>
        </a:p>
      </dgm:t>
    </dgm:pt>
    <dgm:pt modelId="{59909AE2-5E21-EE4B-8A45-BBBCEEEA5968}" type="parTrans" cxnId="{309AFA9E-6C08-D846-B0A2-86762F8BD034}">
      <dgm:prSet/>
      <dgm:spPr/>
      <dgm:t>
        <a:bodyPr/>
        <a:lstStyle/>
        <a:p>
          <a:endParaRPr lang="en-US"/>
        </a:p>
      </dgm:t>
    </dgm:pt>
    <dgm:pt modelId="{A6BDCC1F-F63E-8D48-AD5A-00964879F74F}" type="sibTrans" cxnId="{309AFA9E-6C08-D846-B0A2-86762F8BD034}">
      <dgm:prSet/>
      <dgm:spPr/>
      <dgm:t>
        <a:bodyPr/>
        <a:lstStyle/>
        <a:p>
          <a:endParaRPr lang="en-US"/>
        </a:p>
      </dgm:t>
    </dgm:pt>
    <dgm:pt modelId="{F035B2CC-1131-A646-B72C-6F69EDE03D89}">
      <dgm:prSet phldrT="[Text]" custT="1"/>
      <dgm:spPr/>
      <dgm:t>
        <a:bodyPr/>
        <a:lstStyle/>
        <a:p>
          <a:r>
            <a:rPr lang="en-US" sz="800"/>
            <a:t>Development impact</a:t>
          </a:r>
        </a:p>
      </dgm:t>
    </dgm:pt>
    <dgm:pt modelId="{B2484958-A2C5-EF46-A054-19DD2081529D}" type="parTrans" cxnId="{39CDEEEB-C7DE-BA44-B44E-A9BB8CB3896D}">
      <dgm:prSet/>
      <dgm:spPr/>
      <dgm:t>
        <a:bodyPr/>
        <a:lstStyle/>
        <a:p>
          <a:endParaRPr lang="en-US"/>
        </a:p>
      </dgm:t>
    </dgm:pt>
    <dgm:pt modelId="{7A0DCC4C-8741-9743-8D1D-48E8EA4211E5}" type="sibTrans" cxnId="{39CDEEEB-C7DE-BA44-B44E-A9BB8CB3896D}">
      <dgm:prSet/>
      <dgm:spPr/>
      <dgm:t>
        <a:bodyPr/>
        <a:lstStyle/>
        <a:p>
          <a:endParaRPr lang="en-US"/>
        </a:p>
      </dgm:t>
    </dgm:pt>
    <dgm:pt modelId="{860FEFA2-805E-8146-8F6F-C89870E609B4}">
      <dgm:prSet phldrT="[Text]" custT="1"/>
      <dgm:spPr/>
      <dgm:t>
        <a:bodyPr/>
        <a:lstStyle/>
        <a:p>
          <a:r>
            <a:rPr lang="en-US" sz="800"/>
            <a:t>Risk</a:t>
          </a:r>
        </a:p>
      </dgm:t>
    </dgm:pt>
    <dgm:pt modelId="{5441421D-8C72-1546-82BC-9C6002E09212}" type="parTrans" cxnId="{433BF3EC-F54D-4848-B39C-4AEA01D1E9D0}">
      <dgm:prSet/>
      <dgm:spPr/>
      <dgm:t>
        <a:bodyPr/>
        <a:lstStyle/>
        <a:p>
          <a:endParaRPr lang="en-US"/>
        </a:p>
      </dgm:t>
    </dgm:pt>
    <dgm:pt modelId="{82D0DE9A-2307-134B-A361-3D5200A19FB1}" type="sibTrans" cxnId="{433BF3EC-F54D-4848-B39C-4AEA01D1E9D0}">
      <dgm:prSet/>
      <dgm:spPr/>
      <dgm:t>
        <a:bodyPr/>
        <a:lstStyle/>
        <a:p>
          <a:endParaRPr lang="en-US"/>
        </a:p>
      </dgm:t>
    </dgm:pt>
    <dgm:pt modelId="{2744A291-D2B7-BB41-8FF6-88E9D2EB64C1}">
      <dgm:prSet phldrT="[Text]" custT="1"/>
      <dgm:spPr/>
      <dgm:t>
        <a:bodyPr/>
        <a:lstStyle/>
        <a:p>
          <a:r>
            <a:rPr lang="en-US" sz="800"/>
            <a:t>Transaction strategy</a:t>
          </a:r>
        </a:p>
      </dgm:t>
    </dgm:pt>
    <dgm:pt modelId="{1D36B099-1BEE-7145-9762-56C0153EAF00}" type="parTrans" cxnId="{59B960FD-6877-9E45-BB6F-90B7C4AFE798}">
      <dgm:prSet/>
      <dgm:spPr/>
      <dgm:t>
        <a:bodyPr/>
        <a:lstStyle/>
        <a:p>
          <a:endParaRPr lang="en-US"/>
        </a:p>
      </dgm:t>
    </dgm:pt>
    <dgm:pt modelId="{B269073A-0F29-084E-8452-D81756D96549}" type="sibTrans" cxnId="{59B960FD-6877-9E45-BB6F-90B7C4AFE798}">
      <dgm:prSet/>
      <dgm:spPr/>
      <dgm:t>
        <a:bodyPr/>
        <a:lstStyle/>
        <a:p>
          <a:endParaRPr lang="en-US"/>
        </a:p>
      </dgm:t>
    </dgm:pt>
    <dgm:pt modelId="{4B5559DE-A344-D94E-866E-BE462C306648}">
      <dgm:prSet phldrT="[Text]" custT="1"/>
      <dgm:spPr/>
      <dgm:t>
        <a:bodyPr/>
        <a:lstStyle/>
        <a:p>
          <a:r>
            <a:rPr lang="en-US" sz="800"/>
            <a:t>Development of transaction materials</a:t>
          </a:r>
        </a:p>
      </dgm:t>
    </dgm:pt>
    <dgm:pt modelId="{B8EE96B6-5D68-0D47-B6D6-F49891BF5C99}" type="parTrans" cxnId="{4085DFB7-ECF7-4041-A62F-992C5D11EA84}">
      <dgm:prSet/>
      <dgm:spPr/>
      <dgm:t>
        <a:bodyPr/>
        <a:lstStyle/>
        <a:p>
          <a:endParaRPr lang="en-US"/>
        </a:p>
      </dgm:t>
    </dgm:pt>
    <dgm:pt modelId="{056C91E1-B714-404B-9C83-F3A8F7A4E62E}" type="sibTrans" cxnId="{4085DFB7-ECF7-4041-A62F-992C5D11EA84}">
      <dgm:prSet/>
      <dgm:spPr/>
      <dgm:t>
        <a:bodyPr/>
        <a:lstStyle/>
        <a:p>
          <a:endParaRPr lang="en-US"/>
        </a:p>
      </dgm:t>
    </dgm:pt>
    <dgm:pt modelId="{2D52F10F-ECEE-EB42-A722-9456D3CD8F0E}">
      <dgm:prSet phldrT="[Text]" custT="1"/>
      <dgm:spPr/>
      <dgm:t>
        <a:bodyPr/>
        <a:lstStyle/>
        <a:p>
          <a:r>
            <a:rPr lang="en-US" sz="800"/>
            <a:t>Evaluation committee development</a:t>
          </a:r>
        </a:p>
      </dgm:t>
    </dgm:pt>
    <dgm:pt modelId="{2EE550D6-7932-A749-BE19-1A4F10EFD0EF}" type="parTrans" cxnId="{38472656-D860-8848-9C8F-C625C3460360}">
      <dgm:prSet/>
      <dgm:spPr/>
      <dgm:t>
        <a:bodyPr/>
        <a:lstStyle/>
        <a:p>
          <a:endParaRPr lang="en-US"/>
        </a:p>
      </dgm:t>
    </dgm:pt>
    <dgm:pt modelId="{5235DF6A-DDAC-BF4D-B45F-44FA80AA9DB6}" type="sibTrans" cxnId="{38472656-D860-8848-9C8F-C625C3460360}">
      <dgm:prSet/>
      <dgm:spPr/>
      <dgm:t>
        <a:bodyPr/>
        <a:lstStyle/>
        <a:p>
          <a:endParaRPr lang="en-US"/>
        </a:p>
      </dgm:t>
    </dgm:pt>
    <dgm:pt modelId="{B5C993B4-E12B-F64E-BE30-F99C9127597D}">
      <dgm:prSet phldrT="[Text]"/>
      <dgm:spPr/>
      <dgm:t>
        <a:bodyPr/>
        <a:lstStyle/>
        <a:p>
          <a:r>
            <a:rPr lang="en-US"/>
            <a:t>Step 4: Transaction management</a:t>
          </a:r>
        </a:p>
      </dgm:t>
    </dgm:pt>
    <dgm:pt modelId="{E40478D3-CEC8-4E4F-AE2B-D358058AB1CC}" type="parTrans" cxnId="{0408790A-D43C-A94B-8E46-D1D7C80CE0E8}">
      <dgm:prSet/>
      <dgm:spPr/>
      <dgm:t>
        <a:bodyPr/>
        <a:lstStyle/>
        <a:p>
          <a:endParaRPr lang="en-US"/>
        </a:p>
      </dgm:t>
    </dgm:pt>
    <dgm:pt modelId="{347CD5A2-7DB6-354A-8A60-DB4FA2026281}" type="sibTrans" cxnId="{0408790A-D43C-A94B-8E46-D1D7C80CE0E8}">
      <dgm:prSet/>
      <dgm:spPr/>
      <dgm:t>
        <a:bodyPr/>
        <a:lstStyle/>
        <a:p>
          <a:endParaRPr lang="en-US"/>
        </a:p>
      </dgm:t>
    </dgm:pt>
    <dgm:pt modelId="{F94D4B6B-CC21-C243-AE8E-F94492BA6195}">
      <dgm:prSet phldrT="[Text]" custT="1"/>
      <dgm:spPr/>
      <dgm:t>
        <a:bodyPr/>
        <a:lstStyle/>
        <a:p>
          <a:r>
            <a:rPr lang="en-US" sz="800"/>
            <a:t>Procurement process</a:t>
          </a:r>
        </a:p>
      </dgm:t>
    </dgm:pt>
    <dgm:pt modelId="{1CF59C12-54D3-2944-AC38-2B27581A533C}" type="parTrans" cxnId="{45A1D889-7576-634D-8124-034D03846CE4}">
      <dgm:prSet/>
      <dgm:spPr/>
      <dgm:t>
        <a:bodyPr/>
        <a:lstStyle/>
        <a:p>
          <a:endParaRPr lang="en-US"/>
        </a:p>
      </dgm:t>
    </dgm:pt>
    <dgm:pt modelId="{E33B4FAB-0710-BF4B-B31A-0CD3E52993C7}" type="sibTrans" cxnId="{45A1D889-7576-634D-8124-034D03846CE4}">
      <dgm:prSet/>
      <dgm:spPr/>
      <dgm:t>
        <a:bodyPr/>
        <a:lstStyle/>
        <a:p>
          <a:endParaRPr lang="en-US"/>
        </a:p>
      </dgm:t>
    </dgm:pt>
    <dgm:pt modelId="{1DDFEE3C-1B22-4245-872A-52B68096A2A1}">
      <dgm:prSet phldrT="[Text]" custT="1"/>
      <dgm:spPr/>
      <dgm:t>
        <a:bodyPr/>
        <a:lstStyle/>
        <a:p>
          <a:r>
            <a:rPr lang="en-US" sz="800"/>
            <a:t>Win-win deals and things to avoid</a:t>
          </a:r>
        </a:p>
      </dgm:t>
    </dgm:pt>
    <dgm:pt modelId="{5A9CDDE2-5D29-9746-BC27-F65BE412D18B}" type="parTrans" cxnId="{1394089B-FA35-354E-985B-6255430E2EF3}">
      <dgm:prSet/>
      <dgm:spPr/>
      <dgm:t>
        <a:bodyPr/>
        <a:lstStyle/>
        <a:p>
          <a:endParaRPr lang="en-US"/>
        </a:p>
      </dgm:t>
    </dgm:pt>
    <dgm:pt modelId="{093B4FC7-8B1B-B34D-8839-43C7C85DF102}" type="sibTrans" cxnId="{1394089B-FA35-354E-985B-6255430E2EF3}">
      <dgm:prSet/>
      <dgm:spPr/>
      <dgm:t>
        <a:bodyPr/>
        <a:lstStyle/>
        <a:p>
          <a:endParaRPr lang="en-US"/>
        </a:p>
      </dgm:t>
    </dgm:pt>
    <dgm:pt modelId="{42A55C89-FF3A-EC44-ACC6-1A65F3338A62}">
      <dgm:prSet phldrT="[Text]"/>
      <dgm:spPr/>
      <dgm:t>
        <a:bodyPr/>
        <a:lstStyle/>
        <a:p>
          <a:r>
            <a:rPr lang="en-US"/>
            <a:t>Step 5: Contract management</a:t>
          </a:r>
        </a:p>
      </dgm:t>
    </dgm:pt>
    <dgm:pt modelId="{F1CD37B5-DAD2-354F-820A-AF39D263D6B3}" type="parTrans" cxnId="{437B47C8-51B4-8F4C-B44A-56F6186FE975}">
      <dgm:prSet/>
      <dgm:spPr/>
      <dgm:t>
        <a:bodyPr/>
        <a:lstStyle/>
        <a:p>
          <a:endParaRPr lang="en-US"/>
        </a:p>
      </dgm:t>
    </dgm:pt>
    <dgm:pt modelId="{4AE07EEE-A044-8542-977D-E0DC566DD4A3}" type="sibTrans" cxnId="{437B47C8-51B4-8F4C-B44A-56F6186FE975}">
      <dgm:prSet/>
      <dgm:spPr/>
      <dgm:t>
        <a:bodyPr/>
        <a:lstStyle/>
        <a:p>
          <a:endParaRPr lang="en-US"/>
        </a:p>
      </dgm:t>
    </dgm:pt>
    <dgm:pt modelId="{8DACD88F-18AB-D44D-BA0F-DEEFCA6A1021}">
      <dgm:prSet phldrT="[Text]" custT="1"/>
      <dgm:spPr/>
      <dgm:t>
        <a:bodyPr/>
        <a:lstStyle/>
        <a:p>
          <a:r>
            <a:rPr lang="en-US" sz="800"/>
            <a:t>Capacity and skills</a:t>
          </a:r>
        </a:p>
      </dgm:t>
    </dgm:pt>
    <dgm:pt modelId="{BB47090C-6457-6B4E-B0DF-43AC81CC5938}" type="parTrans" cxnId="{E4022ED1-707A-E041-A8C8-E373F1AD83DD}">
      <dgm:prSet/>
      <dgm:spPr/>
      <dgm:t>
        <a:bodyPr/>
        <a:lstStyle/>
        <a:p>
          <a:endParaRPr lang="en-US"/>
        </a:p>
      </dgm:t>
    </dgm:pt>
    <dgm:pt modelId="{C890F46F-979A-8E47-9444-24702E97832B}" type="sibTrans" cxnId="{E4022ED1-707A-E041-A8C8-E373F1AD83DD}">
      <dgm:prSet/>
      <dgm:spPr/>
      <dgm:t>
        <a:bodyPr/>
        <a:lstStyle/>
        <a:p>
          <a:endParaRPr lang="en-US"/>
        </a:p>
      </dgm:t>
    </dgm:pt>
    <dgm:pt modelId="{72F9BBC7-67BC-244E-9186-38E288B979EB}">
      <dgm:prSet phldrT="[Text]" custT="1"/>
      <dgm:spPr/>
      <dgm:t>
        <a:bodyPr/>
        <a:lstStyle/>
        <a:p>
          <a:r>
            <a:rPr lang="en-US" sz="800"/>
            <a:t>Manuals</a:t>
          </a:r>
        </a:p>
      </dgm:t>
    </dgm:pt>
    <dgm:pt modelId="{8075D1D5-3645-E14E-978F-37F22CA59C6E}" type="parTrans" cxnId="{74BFF6E2-0356-8344-8D85-015879239CDA}">
      <dgm:prSet/>
      <dgm:spPr/>
      <dgm:t>
        <a:bodyPr/>
        <a:lstStyle/>
        <a:p>
          <a:endParaRPr lang="en-US"/>
        </a:p>
      </dgm:t>
    </dgm:pt>
    <dgm:pt modelId="{3F438407-6AA7-494D-AE6F-7052FEE68617}" type="sibTrans" cxnId="{74BFF6E2-0356-8344-8D85-015879239CDA}">
      <dgm:prSet/>
      <dgm:spPr/>
      <dgm:t>
        <a:bodyPr/>
        <a:lstStyle/>
        <a:p>
          <a:endParaRPr lang="en-US"/>
        </a:p>
      </dgm:t>
    </dgm:pt>
    <dgm:pt modelId="{A0105B2A-6F5E-8847-AB78-D96DF172DE95}">
      <dgm:prSet phldrT="[Text]" custT="1"/>
      <dgm:spPr/>
      <dgm:t>
        <a:bodyPr/>
        <a:lstStyle/>
        <a:p>
          <a:r>
            <a:rPr lang="en-US" sz="800"/>
            <a:t>End of concession and next steps</a:t>
          </a:r>
        </a:p>
      </dgm:t>
    </dgm:pt>
    <dgm:pt modelId="{DA40A98B-1630-FA4E-A66D-307087DB3542}" type="parTrans" cxnId="{6CCBA2E2-53E7-6848-AA4B-02A3FEF524BB}">
      <dgm:prSet/>
      <dgm:spPr/>
      <dgm:t>
        <a:bodyPr/>
        <a:lstStyle/>
        <a:p>
          <a:endParaRPr lang="en-US"/>
        </a:p>
      </dgm:t>
    </dgm:pt>
    <dgm:pt modelId="{0BC73C6A-9676-A748-B17B-9606224EA362}" type="sibTrans" cxnId="{6CCBA2E2-53E7-6848-AA4B-02A3FEF524BB}">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5">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5">
        <dgm:presLayoutVars>
          <dgm:bulletEnabled val="1"/>
        </dgm:presLayoutVars>
      </dgm:prSet>
      <dgm:spPr/>
      <dgm:t>
        <a:bodyPr/>
        <a:lstStyle/>
        <a:p>
          <a:endParaRPr lang="en-US"/>
        </a:p>
      </dgm:t>
    </dgm:pt>
    <dgm:pt modelId="{F176FC9B-07FC-8547-ACF8-C4CD43801669}" type="pres">
      <dgm:prSet presAssocID="{CE07943A-908D-864E-8D84-19C9DFC6A046}" presName="sp" presStyleCnt="0"/>
      <dgm:spPr/>
    </dgm:pt>
    <dgm:pt modelId="{F0F56F1D-002D-DA45-8242-4A2C5B2DDCFF}" type="pres">
      <dgm:prSet presAssocID="{7229D938-C19D-154D-BABD-2F119A0D2959}" presName="composite" presStyleCnt="0"/>
      <dgm:spPr/>
    </dgm:pt>
    <dgm:pt modelId="{73A63B60-0437-AB41-8887-010B2F5C7552}" type="pres">
      <dgm:prSet presAssocID="{7229D938-C19D-154D-BABD-2F119A0D2959}" presName="parentText" presStyleLbl="alignNode1" presStyleIdx="1" presStyleCnt="5" custLinFactNeighborY="-14445">
        <dgm:presLayoutVars>
          <dgm:chMax val="1"/>
          <dgm:bulletEnabled val="1"/>
        </dgm:presLayoutVars>
      </dgm:prSet>
      <dgm:spPr/>
      <dgm:t>
        <a:bodyPr/>
        <a:lstStyle/>
        <a:p>
          <a:endParaRPr lang="en-US"/>
        </a:p>
      </dgm:t>
    </dgm:pt>
    <dgm:pt modelId="{3B2BD76E-BB1F-7947-A580-E88B24E0BC29}" type="pres">
      <dgm:prSet presAssocID="{7229D938-C19D-154D-BABD-2F119A0D2959}" presName="descendantText" presStyleLbl="alignAcc1" presStyleIdx="1" presStyleCnt="5" custScaleY="151735" custLinFactNeighborY="-15883">
        <dgm:presLayoutVars>
          <dgm:bulletEnabled val="1"/>
        </dgm:presLayoutVars>
      </dgm:prSet>
      <dgm:spPr/>
      <dgm:t>
        <a:bodyPr/>
        <a:lstStyle/>
        <a:p>
          <a:endParaRPr lang="en-US"/>
        </a:p>
      </dgm:t>
    </dgm:pt>
    <dgm:pt modelId="{D3C7B53C-7404-7548-9B5D-88CFCCC64F51}" type="pres">
      <dgm:prSet presAssocID="{B1752ACC-18F3-484E-AA5A-3BCAB0C1FF5D}" presName="sp" presStyleCnt="0"/>
      <dgm:spPr/>
    </dgm:pt>
    <dgm:pt modelId="{98CF19DA-D7F6-6A40-8E45-65D5CA8EAC3C}" type="pres">
      <dgm:prSet presAssocID="{AAD77D7D-FB64-9544-89A1-E67BEE948839}" presName="composite" presStyleCnt="0"/>
      <dgm:spPr/>
    </dgm:pt>
    <dgm:pt modelId="{8C02DC8D-A5EF-EB4D-8A82-3F69209E861D}" type="pres">
      <dgm:prSet presAssocID="{AAD77D7D-FB64-9544-89A1-E67BEE948839}" presName="parentText" presStyleLbl="alignNode1" presStyleIdx="2" presStyleCnt="5">
        <dgm:presLayoutVars>
          <dgm:chMax val="1"/>
          <dgm:bulletEnabled val="1"/>
        </dgm:presLayoutVars>
      </dgm:prSet>
      <dgm:spPr/>
      <dgm:t>
        <a:bodyPr/>
        <a:lstStyle/>
        <a:p>
          <a:endParaRPr lang="en-US"/>
        </a:p>
      </dgm:t>
    </dgm:pt>
    <dgm:pt modelId="{56527179-1005-3444-9568-3F1643A1ADF9}" type="pres">
      <dgm:prSet presAssocID="{AAD77D7D-FB64-9544-89A1-E67BEE948839}" presName="descendantText" presStyleLbl="alignAcc1" presStyleIdx="2" presStyleCnt="5">
        <dgm:presLayoutVars>
          <dgm:bulletEnabled val="1"/>
        </dgm:presLayoutVars>
      </dgm:prSet>
      <dgm:spPr/>
      <dgm:t>
        <a:bodyPr/>
        <a:lstStyle/>
        <a:p>
          <a:endParaRPr lang="en-US"/>
        </a:p>
      </dgm:t>
    </dgm:pt>
    <dgm:pt modelId="{BBEBA8EB-6358-6045-B53A-4DCC6BFEC5BB}" type="pres">
      <dgm:prSet presAssocID="{AD8807D2-43EE-CF42-BB41-C46BD1CCB200}" presName="sp" presStyleCnt="0"/>
      <dgm:spPr/>
    </dgm:pt>
    <dgm:pt modelId="{04119643-F138-7341-84B5-CB5F635798AB}" type="pres">
      <dgm:prSet presAssocID="{B5C993B4-E12B-F64E-BE30-F99C9127597D}" presName="composite" presStyleCnt="0"/>
      <dgm:spPr/>
    </dgm:pt>
    <dgm:pt modelId="{833FF24C-E71E-E04F-91F1-1C6859871847}" type="pres">
      <dgm:prSet presAssocID="{B5C993B4-E12B-F64E-BE30-F99C9127597D}" presName="parentText" presStyleLbl="alignNode1" presStyleIdx="3" presStyleCnt="5">
        <dgm:presLayoutVars>
          <dgm:chMax val="1"/>
          <dgm:bulletEnabled val="1"/>
        </dgm:presLayoutVars>
      </dgm:prSet>
      <dgm:spPr/>
      <dgm:t>
        <a:bodyPr/>
        <a:lstStyle/>
        <a:p>
          <a:endParaRPr lang="en-US"/>
        </a:p>
      </dgm:t>
    </dgm:pt>
    <dgm:pt modelId="{42856FA0-2189-E341-89C0-BB9DC4A1F4D8}" type="pres">
      <dgm:prSet presAssocID="{B5C993B4-E12B-F64E-BE30-F99C9127597D}" presName="descendantText" presStyleLbl="alignAcc1" presStyleIdx="3" presStyleCnt="5">
        <dgm:presLayoutVars>
          <dgm:bulletEnabled val="1"/>
        </dgm:presLayoutVars>
      </dgm:prSet>
      <dgm:spPr/>
      <dgm:t>
        <a:bodyPr/>
        <a:lstStyle/>
        <a:p>
          <a:endParaRPr lang="en-US"/>
        </a:p>
      </dgm:t>
    </dgm:pt>
    <dgm:pt modelId="{513819AD-EEA5-4A49-8F97-8237DE2DD566}" type="pres">
      <dgm:prSet presAssocID="{347CD5A2-7DB6-354A-8A60-DB4FA2026281}" presName="sp" presStyleCnt="0"/>
      <dgm:spPr/>
    </dgm:pt>
    <dgm:pt modelId="{E3F18649-1820-D142-AD72-7076710A1ABB}" type="pres">
      <dgm:prSet presAssocID="{42A55C89-FF3A-EC44-ACC6-1A65F3338A62}" presName="composite" presStyleCnt="0"/>
      <dgm:spPr/>
    </dgm:pt>
    <dgm:pt modelId="{76B2B06B-0BC3-1E4E-812B-B8AC973742F5}" type="pres">
      <dgm:prSet presAssocID="{42A55C89-FF3A-EC44-ACC6-1A65F3338A62}" presName="parentText" presStyleLbl="alignNode1" presStyleIdx="4" presStyleCnt="5">
        <dgm:presLayoutVars>
          <dgm:chMax val="1"/>
          <dgm:bulletEnabled val="1"/>
        </dgm:presLayoutVars>
      </dgm:prSet>
      <dgm:spPr/>
      <dgm:t>
        <a:bodyPr/>
        <a:lstStyle/>
        <a:p>
          <a:endParaRPr lang="en-US"/>
        </a:p>
      </dgm:t>
    </dgm:pt>
    <dgm:pt modelId="{7823496A-F112-A54E-B9AB-C45FE44E4C35}" type="pres">
      <dgm:prSet presAssocID="{42A55C89-FF3A-EC44-ACC6-1A65F3338A62}" presName="descendantText" presStyleLbl="alignAcc1" presStyleIdx="4" presStyleCnt="5">
        <dgm:presLayoutVars>
          <dgm:bulletEnabled val="1"/>
        </dgm:presLayoutVars>
      </dgm:prSet>
      <dgm:spPr/>
      <dgm:t>
        <a:bodyPr/>
        <a:lstStyle/>
        <a:p>
          <a:endParaRPr lang="en-US"/>
        </a:p>
      </dgm:t>
    </dgm:pt>
  </dgm:ptLst>
  <dgm:cxnLst>
    <dgm:cxn modelId="{59ED56EB-313D-6649-A3D2-B115248EC17E}" type="presOf" srcId="{537B3A1D-6C92-FE48-9B42-268D99FB5323}" destId="{56527179-1005-3444-9568-3F1643A1ADF9}" srcOrd="0" destOrd="0" presId="urn:microsoft.com/office/officeart/2005/8/layout/chevron2"/>
    <dgm:cxn modelId="{7F60E53C-EB5A-464E-8553-B95A508DACCA}" type="presOf" srcId="{59911300-3C3E-B04D-AD08-F60F35935997}" destId="{3B2BD76E-BB1F-7947-A580-E88B24E0BC29}" srcOrd="0" destOrd="2" presId="urn:microsoft.com/office/officeart/2005/8/layout/chevron2"/>
    <dgm:cxn modelId="{1394089B-FA35-354E-985B-6255430E2EF3}" srcId="{B5C993B4-E12B-F64E-BE30-F99C9127597D}" destId="{1DDFEE3C-1B22-4245-872A-52B68096A2A1}" srcOrd="1" destOrd="0" parTransId="{5A9CDDE2-5D29-9746-BC27-F65BE412D18B}" sibTransId="{093B4FC7-8B1B-B34D-8839-43C7C85DF102}"/>
    <dgm:cxn modelId="{437B47C8-51B4-8F4C-B44A-56F6186FE975}" srcId="{5162D6FA-58BB-4B49-B2F9-175972B12724}" destId="{42A55C89-FF3A-EC44-ACC6-1A65F3338A62}" srcOrd="4" destOrd="0" parTransId="{F1CD37B5-DAD2-354F-820A-AF39D263D6B3}" sibTransId="{4AE07EEE-A044-8542-977D-E0DC566DD4A3}"/>
    <dgm:cxn modelId="{AF2B19D1-6801-234A-8C42-C1A7311E8D07}" type="presOf" srcId="{A0105B2A-6F5E-8847-AB78-D96DF172DE95}" destId="{7823496A-F112-A54E-B9AB-C45FE44E4C35}" srcOrd="0" destOrd="2" presId="urn:microsoft.com/office/officeart/2005/8/layout/chevron2"/>
    <dgm:cxn modelId="{6CCBA2E2-53E7-6848-AA4B-02A3FEF524BB}" srcId="{42A55C89-FF3A-EC44-ACC6-1A65F3338A62}" destId="{A0105B2A-6F5E-8847-AB78-D96DF172DE95}" srcOrd="2" destOrd="0" parTransId="{DA40A98B-1630-FA4E-A66D-307087DB3542}" sibTransId="{0BC73C6A-9676-A748-B17B-9606224EA362}"/>
    <dgm:cxn modelId="{160109F2-269C-7041-A0CE-7FFF891AA2BD}" type="presOf" srcId="{4B5559DE-A344-D94E-866E-BE462C306648}" destId="{56527179-1005-3444-9568-3F1643A1ADF9}" srcOrd="0" destOrd="2" presId="urn:microsoft.com/office/officeart/2005/8/layout/chevron2"/>
    <dgm:cxn modelId="{0AB50084-2FC7-8F4F-8F36-E510BD67E509}" type="presOf" srcId="{2744A291-D2B7-BB41-8FF6-88E9D2EB64C1}" destId="{56527179-1005-3444-9568-3F1643A1ADF9}" srcOrd="0" destOrd="1" presId="urn:microsoft.com/office/officeart/2005/8/layout/chevron2"/>
    <dgm:cxn modelId="{3B04A826-ADBB-484D-AC80-6DF2AE6D3BFF}" type="presOf" srcId="{2D52F10F-ECEE-EB42-A722-9456D3CD8F0E}" destId="{56527179-1005-3444-9568-3F1643A1ADF9}" srcOrd="0" destOrd="3" presId="urn:microsoft.com/office/officeart/2005/8/layout/chevron2"/>
    <dgm:cxn modelId="{4085DFB7-ECF7-4041-A62F-992C5D11EA84}" srcId="{AAD77D7D-FB64-9544-89A1-E67BEE948839}" destId="{4B5559DE-A344-D94E-866E-BE462C306648}" srcOrd="2" destOrd="0" parTransId="{B8EE96B6-5D68-0D47-B6D6-F49891BF5C99}" sibTransId="{056C91E1-B714-404B-9C83-F3A8F7A4E62E}"/>
    <dgm:cxn modelId="{9B965304-8516-0A4C-9E24-1B4EA27A7703}" type="presOf" srcId="{860FEFA2-805E-8146-8F6F-C89870E609B4}" destId="{3B2BD76E-BB1F-7947-A580-E88B24E0BC29}" srcOrd="0" destOrd="5" presId="urn:microsoft.com/office/officeart/2005/8/layout/chevron2"/>
    <dgm:cxn modelId="{9013AEB1-D87B-014E-B52C-27D4061FB7E1}" type="presOf" srcId="{8DACD88F-18AB-D44D-BA0F-DEEFCA6A1021}" destId="{7823496A-F112-A54E-B9AB-C45FE44E4C35}" srcOrd="0" destOrd="0" presId="urn:microsoft.com/office/officeart/2005/8/layout/chevron2"/>
    <dgm:cxn modelId="{AEDB2DC8-1421-C346-86FA-93E6EC496DF0}" type="presOf" srcId="{42A55C89-FF3A-EC44-ACC6-1A65F3338A62}" destId="{76B2B06B-0BC3-1E4E-812B-B8AC973742F5}" srcOrd="0" destOrd="0" presId="urn:microsoft.com/office/officeart/2005/8/layout/chevron2"/>
    <dgm:cxn modelId="{1BEF8CF8-0856-8B4A-832E-B74C09EFDB72}" type="presOf" srcId="{F035B2CC-1131-A646-B72C-6F69EDE03D89}" destId="{3B2BD76E-BB1F-7947-A580-E88B24E0BC29}" srcOrd="0" destOrd="4" presId="urn:microsoft.com/office/officeart/2005/8/layout/chevron2"/>
    <dgm:cxn modelId="{1A0E2D2C-4CDE-0144-82F5-F3EB7B3D39EF}" type="presOf" srcId="{B5C993B4-E12B-F64E-BE30-F99C9127597D}" destId="{833FF24C-E71E-E04F-91F1-1C6859871847}" srcOrd="0" destOrd="0" presId="urn:microsoft.com/office/officeart/2005/8/layout/chevron2"/>
    <dgm:cxn modelId="{4CC825F8-8226-5D43-AA3A-9C85EE2AF458}" srcId="{5162D6FA-58BB-4B49-B2F9-175972B12724}" destId="{AAD77D7D-FB64-9544-89A1-E67BEE948839}" srcOrd="2" destOrd="0" parTransId="{E62B27BF-D095-BF41-A540-1F785916C01F}" sibTransId="{AD8807D2-43EE-CF42-BB41-C46BD1CCB200}"/>
    <dgm:cxn modelId="{F798F2C7-A6B9-9649-9E15-E5E3F7B631F4}" type="presOf" srcId="{BA1A9D59-086C-1043-A5EC-CA39CB7604F5}" destId="{FA6E9BCF-C9F4-7240-AB6C-2402D35AD945}" srcOrd="0" destOrd="2" presId="urn:microsoft.com/office/officeart/2005/8/layout/chevron2"/>
    <dgm:cxn modelId="{309AFA9E-6C08-D846-B0A2-86762F8BD034}" srcId="{7229D938-C19D-154D-BABD-2F119A0D2959}" destId="{AC1AC31F-9877-4944-B8E1-00A9E50328F9}" srcOrd="3" destOrd="0" parTransId="{59909AE2-5E21-EE4B-8A45-BBBCEEEA5968}" sibTransId="{A6BDCC1F-F63E-8D48-AD5A-00964879F74F}"/>
    <dgm:cxn modelId="{F5B62899-FCFC-E948-AA3C-3BAE552DE346}" type="presOf" srcId="{72F9BBC7-67BC-244E-9186-38E288B979EB}" destId="{7823496A-F112-A54E-B9AB-C45FE44E4C35}" srcOrd="0" destOrd="1" presId="urn:microsoft.com/office/officeart/2005/8/layout/chevron2"/>
    <dgm:cxn modelId="{433BF3EC-F54D-4848-B39C-4AEA01D1E9D0}" srcId="{7229D938-C19D-154D-BABD-2F119A0D2959}" destId="{860FEFA2-805E-8146-8F6F-C89870E609B4}" srcOrd="5" destOrd="0" parTransId="{5441421D-8C72-1546-82BC-9C6002E09212}" sibTransId="{82D0DE9A-2307-134B-A361-3D5200A19FB1}"/>
    <dgm:cxn modelId="{39E404D7-5ABD-1749-B054-90824D4AFB1F}" srcId="{7229D938-C19D-154D-BABD-2F119A0D2959}" destId="{E6FA5C1B-67E5-5448-8925-C921DA6D225F}" srcOrd="1" destOrd="0" parTransId="{F4DFD421-CC41-9245-8705-1D80139BBC7D}" sibTransId="{68B04A37-D14D-3948-A7E2-71D3FCBFD985}"/>
    <dgm:cxn modelId="{74BFF6E2-0356-8344-8D85-015879239CDA}" srcId="{42A55C89-FF3A-EC44-ACC6-1A65F3338A62}" destId="{72F9BBC7-67BC-244E-9186-38E288B979EB}" srcOrd="1" destOrd="0" parTransId="{8075D1D5-3645-E14E-978F-37F22CA59C6E}" sibTransId="{3F438407-6AA7-494D-AE6F-7052FEE68617}"/>
    <dgm:cxn modelId="{EC6A7078-EE46-D740-B0EC-80AAF1507EB2}" type="presOf" srcId="{0E7B5FA1-DFD2-F749-978B-014FEE5862EF}" destId="{3B2BD76E-BB1F-7947-A580-E88B24E0BC29}" srcOrd="0" destOrd="6" presId="urn:microsoft.com/office/officeart/2005/8/layout/chevron2"/>
    <dgm:cxn modelId="{FAFC7F7E-3FB2-F543-8B15-888424445028}" type="presOf" srcId="{F94D4B6B-CC21-C243-AE8E-F94492BA6195}" destId="{42856FA0-2189-E341-89C0-BB9DC4A1F4D8}" srcOrd="0" destOrd="0" presId="urn:microsoft.com/office/officeart/2005/8/layout/chevron2"/>
    <dgm:cxn modelId="{0E747366-1B7B-8A45-838D-FEE62590EFF6}" srcId="{7229D938-C19D-154D-BABD-2F119A0D2959}" destId="{474CEA97-7CE1-1945-9268-299E403F8210}" srcOrd="0" destOrd="0" parTransId="{661B1391-BF60-214B-87AF-CEC7DAFCF8C3}" sibTransId="{5319A32D-A952-0A4C-9A8F-821A43B53B67}"/>
    <dgm:cxn modelId="{031CB30D-6F78-7240-91AD-621B95ACE557}" type="presOf" srcId="{D91BEC05-A33E-F245-BBA1-2E08D98E3404}" destId="{FA6E9BCF-C9F4-7240-AB6C-2402D35AD945}" srcOrd="0" destOrd="1" presId="urn:microsoft.com/office/officeart/2005/8/layout/chevron2"/>
    <dgm:cxn modelId="{EB339B4E-8098-8A4F-A52B-62360DB6A2A7}" type="presOf" srcId="{474CEA97-7CE1-1945-9268-299E403F8210}" destId="{3B2BD76E-BB1F-7947-A580-E88B24E0BC29}" srcOrd="0" destOrd="0" presId="urn:microsoft.com/office/officeart/2005/8/layout/chevron2"/>
    <dgm:cxn modelId="{39CDEEEB-C7DE-BA44-B44E-A9BB8CB3896D}" srcId="{7229D938-C19D-154D-BABD-2F119A0D2959}" destId="{F035B2CC-1131-A646-B72C-6F69EDE03D89}" srcOrd="4" destOrd="0" parTransId="{B2484958-A2C5-EF46-A054-19DD2081529D}" sibTransId="{7A0DCC4C-8741-9743-8D1D-48E8EA4211E5}"/>
    <dgm:cxn modelId="{A521EAC7-8D23-8948-9284-56B68D5B2023}" srcId="{6B48545D-785A-3846-AAF4-AC6200B0E3D1}" destId="{B7BE52CD-A134-B844-B6A5-7ADCD8D3262B}" srcOrd="3" destOrd="0" parTransId="{44B15B51-C2CC-264D-AC36-DAD1C9B382D6}" sibTransId="{143AD93F-44F6-2F47-8DFA-65CDAD18E655}"/>
    <dgm:cxn modelId="{904CC55D-A800-F146-8D63-A8ED0BD6A894}" type="presOf" srcId="{7229D938-C19D-154D-BABD-2F119A0D2959}" destId="{73A63B60-0437-AB41-8887-010B2F5C7552}" srcOrd="0" destOrd="0" presId="urn:microsoft.com/office/officeart/2005/8/layout/chevron2"/>
    <dgm:cxn modelId="{F0FE3D87-DDD1-EE43-BCCB-72479C7C84B1}" srcId="{6B48545D-785A-3846-AAF4-AC6200B0E3D1}" destId="{BA1A9D59-086C-1043-A5EC-CA39CB7604F5}" srcOrd="2" destOrd="0" parTransId="{426A25A8-5B2C-5A42-B42F-326A02A9451B}" sibTransId="{DE6C54F4-D74E-CB4B-83A9-24180251CB74}"/>
    <dgm:cxn modelId="{4047B1E4-184C-9045-9F87-ECDD7EAAC930}" type="presOf" srcId="{B7BE52CD-A134-B844-B6A5-7ADCD8D3262B}" destId="{FA6E9BCF-C9F4-7240-AB6C-2402D35AD945}" srcOrd="0" destOrd="3" presId="urn:microsoft.com/office/officeart/2005/8/layout/chevron2"/>
    <dgm:cxn modelId="{45A1D889-7576-634D-8124-034D03846CE4}" srcId="{B5C993B4-E12B-F64E-BE30-F99C9127597D}" destId="{F94D4B6B-CC21-C243-AE8E-F94492BA6195}" srcOrd="0" destOrd="0" parTransId="{1CF59C12-54D3-2944-AC38-2B27581A533C}" sibTransId="{E33B4FAB-0710-BF4B-B31A-0CD3E52993C7}"/>
    <dgm:cxn modelId="{D33E1596-9CDB-B242-B83E-C4A07B7EBCB7}" srcId="{6B48545D-785A-3846-AAF4-AC6200B0E3D1}" destId="{D91BEC05-A33E-F245-BBA1-2E08D98E3404}" srcOrd="1" destOrd="0" parTransId="{54B587F7-0169-AC41-AEAD-C81A6D0B9471}" sibTransId="{FC382E7E-7919-B94A-ABD2-29C2341524BE}"/>
    <dgm:cxn modelId="{59B960FD-6877-9E45-BB6F-90B7C4AFE798}" srcId="{AAD77D7D-FB64-9544-89A1-E67BEE948839}" destId="{2744A291-D2B7-BB41-8FF6-88E9D2EB64C1}" srcOrd="1" destOrd="0" parTransId="{1D36B099-1BEE-7145-9762-56C0153EAF00}" sibTransId="{B269073A-0F29-084E-8452-D81756D96549}"/>
    <dgm:cxn modelId="{0408790A-D43C-A94B-8E46-D1D7C80CE0E8}" srcId="{5162D6FA-58BB-4B49-B2F9-175972B12724}" destId="{B5C993B4-E12B-F64E-BE30-F99C9127597D}" srcOrd="3" destOrd="0" parTransId="{E40478D3-CEC8-4E4F-AE2B-D358058AB1CC}" sibTransId="{347CD5A2-7DB6-354A-8A60-DB4FA2026281}"/>
    <dgm:cxn modelId="{60A46313-E13F-5A4D-BDEF-CB169FC3294C}" type="presOf" srcId="{AC1AC31F-9877-4944-B8E1-00A9E50328F9}" destId="{3B2BD76E-BB1F-7947-A580-E88B24E0BC29}" srcOrd="0" destOrd="3" presId="urn:microsoft.com/office/officeart/2005/8/layout/chevron2"/>
    <dgm:cxn modelId="{BCEAA083-3406-3E45-B028-74C3235239C6}" srcId="{AAD77D7D-FB64-9544-89A1-E67BEE948839}" destId="{537B3A1D-6C92-FE48-9B42-268D99FB5323}" srcOrd="0" destOrd="0" parTransId="{78449643-4073-844A-8110-8E6AD8EF9DAD}" sibTransId="{E8871910-7504-2E4A-9B08-E48146F6C849}"/>
    <dgm:cxn modelId="{18E539F8-80F0-A243-8671-24024EFCC637}" srcId="{6B48545D-785A-3846-AAF4-AC6200B0E3D1}" destId="{ADF70F01-E271-8D4E-8097-EC196C8B15D9}" srcOrd="0" destOrd="0" parTransId="{CDA03D56-40C0-6F43-A5C2-73C5B9F10B0C}" sibTransId="{673D64B7-3BFF-FE4A-B1AE-CE231B86ED37}"/>
    <dgm:cxn modelId="{22CC1C50-B2AF-8B49-B9A0-C44A2492EA73}" type="presOf" srcId="{1DDFEE3C-1B22-4245-872A-52B68096A2A1}" destId="{42856FA0-2189-E341-89C0-BB9DC4A1F4D8}" srcOrd="0" destOrd="1" presId="urn:microsoft.com/office/officeart/2005/8/layout/chevron2"/>
    <dgm:cxn modelId="{4E36DC14-7B64-0149-BF3C-BB77E4129F4C}" srcId="{5162D6FA-58BB-4B49-B2F9-175972B12724}" destId="{7229D938-C19D-154D-BABD-2F119A0D2959}" srcOrd="1" destOrd="0" parTransId="{27AD5E26-A1E5-2645-9957-EF4561C4E732}" sibTransId="{B1752ACC-18F3-484E-AA5A-3BCAB0C1FF5D}"/>
    <dgm:cxn modelId="{6A4ACBF2-3469-0540-AC54-CCA3452E5553}" type="presOf" srcId="{ADF70F01-E271-8D4E-8097-EC196C8B15D9}" destId="{FA6E9BCF-C9F4-7240-AB6C-2402D35AD945}" srcOrd="0" destOrd="0" presId="urn:microsoft.com/office/officeart/2005/8/layout/chevron2"/>
    <dgm:cxn modelId="{E4022ED1-707A-E041-A8C8-E373F1AD83DD}" srcId="{42A55C89-FF3A-EC44-ACC6-1A65F3338A62}" destId="{8DACD88F-18AB-D44D-BA0F-DEEFCA6A1021}" srcOrd="0" destOrd="0" parTransId="{BB47090C-6457-6B4E-B0DF-43AC81CC5938}" sibTransId="{C890F46F-979A-8E47-9444-24702E97832B}"/>
    <dgm:cxn modelId="{38472656-D860-8848-9C8F-C625C3460360}" srcId="{AAD77D7D-FB64-9544-89A1-E67BEE948839}" destId="{2D52F10F-ECEE-EB42-A722-9456D3CD8F0E}" srcOrd="3" destOrd="0" parTransId="{2EE550D6-7932-A749-BE19-1A4F10EFD0EF}" sibTransId="{5235DF6A-DDAC-BF4D-B45F-44FA80AA9DB6}"/>
    <dgm:cxn modelId="{C721FD17-D061-1849-B836-FCBD5F549BE1}" type="presOf" srcId="{6B48545D-785A-3846-AAF4-AC6200B0E3D1}" destId="{E9570D06-6D70-C34E-A29B-436B69AC095B}" srcOrd="0" destOrd="0" presId="urn:microsoft.com/office/officeart/2005/8/layout/chevron2"/>
    <dgm:cxn modelId="{7400D308-AF9D-1840-89F6-2E40E460F4F2}" srcId="{7229D938-C19D-154D-BABD-2F119A0D2959}" destId="{59911300-3C3E-B04D-AD08-F60F35935997}" srcOrd="2" destOrd="0" parTransId="{B57FCF70-0742-A74B-A2E5-4B28AF22906C}" sibTransId="{22EE31D5-C488-9941-ABA2-8F9E07A86977}"/>
    <dgm:cxn modelId="{27CBE157-8E28-9248-B73C-DF5E11931FB7}" type="presOf" srcId="{E6FA5C1B-67E5-5448-8925-C921DA6D225F}" destId="{3B2BD76E-BB1F-7947-A580-E88B24E0BC29}" srcOrd="0" destOrd="1" presId="urn:microsoft.com/office/officeart/2005/8/layout/chevron2"/>
    <dgm:cxn modelId="{357BA325-80E8-5842-8B55-A35C1F37EA5B}" type="presOf" srcId="{5162D6FA-58BB-4B49-B2F9-175972B12724}" destId="{428F09B0-3390-284C-832D-CAE99C094465}" srcOrd="0" destOrd="0"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69B93EB2-5574-7E45-8462-044496267231}" type="presOf" srcId="{AAD77D7D-FB64-9544-89A1-E67BEE948839}" destId="{8C02DC8D-A5EF-EB4D-8A82-3F69209E861D}" srcOrd="0" destOrd="0" presId="urn:microsoft.com/office/officeart/2005/8/layout/chevron2"/>
    <dgm:cxn modelId="{A4775AA6-37C0-9747-A677-2420E2AA270F}" srcId="{7229D938-C19D-154D-BABD-2F119A0D2959}" destId="{0E7B5FA1-DFD2-F749-978B-014FEE5862EF}" srcOrd="6" destOrd="0" parTransId="{D4A94061-F98D-7F4F-868A-AD4FC149D7F3}" sibTransId="{519F0779-528B-804F-9BAE-E4B85470133A}"/>
    <dgm:cxn modelId="{52859E03-2452-DC4D-A4E5-8A9FA87AD2CA}" type="presParOf" srcId="{428F09B0-3390-284C-832D-CAE99C094465}" destId="{CA026B3D-6835-3A42-A6D0-465C10E8242F}" srcOrd="0" destOrd="0" presId="urn:microsoft.com/office/officeart/2005/8/layout/chevron2"/>
    <dgm:cxn modelId="{348E6759-140C-444F-BCA3-C1B5DAAF9155}" type="presParOf" srcId="{CA026B3D-6835-3A42-A6D0-465C10E8242F}" destId="{E9570D06-6D70-C34E-A29B-436B69AC095B}" srcOrd="0" destOrd="0" presId="urn:microsoft.com/office/officeart/2005/8/layout/chevron2"/>
    <dgm:cxn modelId="{C8F41237-81D5-C347-93F5-10DDC2950D59}" type="presParOf" srcId="{CA026B3D-6835-3A42-A6D0-465C10E8242F}" destId="{FA6E9BCF-C9F4-7240-AB6C-2402D35AD945}" srcOrd="1" destOrd="0" presId="urn:microsoft.com/office/officeart/2005/8/layout/chevron2"/>
    <dgm:cxn modelId="{B8A7B016-16B5-C94F-9B8E-DE684375F16D}" type="presParOf" srcId="{428F09B0-3390-284C-832D-CAE99C094465}" destId="{F176FC9B-07FC-8547-ACF8-C4CD43801669}" srcOrd="1" destOrd="0" presId="urn:microsoft.com/office/officeart/2005/8/layout/chevron2"/>
    <dgm:cxn modelId="{7D4A087B-961C-8B49-8F29-3CD064805FF1}" type="presParOf" srcId="{428F09B0-3390-284C-832D-CAE99C094465}" destId="{F0F56F1D-002D-DA45-8242-4A2C5B2DDCFF}" srcOrd="2" destOrd="0" presId="urn:microsoft.com/office/officeart/2005/8/layout/chevron2"/>
    <dgm:cxn modelId="{4A74B2F2-B0AD-D04E-8ECF-CAADA5976D69}" type="presParOf" srcId="{F0F56F1D-002D-DA45-8242-4A2C5B2DDCFF}" destId="{73A63B60-0437-AB41-8887-010B2F5C7552}" srcOrd="0" destOrd="0" presId="urn:microsoft.com/office/officeart/2005/8/layout/chevron2"/>
    <dgm:cxn modelId="{CCC422DC-19C2-9740-87DC-744B0F51ED6D}" type="presParOf" srcId="{F0F56F1D-002D-DA45-8242-4A2C5B2DDCFF}" destId="{3B2BD76E-BB1F-7947-A580-E88B24E0BC29}" srcOrd="1" destOrd="0" presId="urn:microsoft.com/office/officeart/2005/8/layout/chevron2"/>
    <dgm:cxn modelId="{D17446D3-0556-BD43-AA1E-07FFBE62D887}" type="presParOf" srcId="{428F09B0-3390-284C-832D-CAE99C094465}" destId="{D3C7B53C-7404-7548-9B5D-88CFCCC64F51}" srcOrd="3" destOrd="0" presId="urn:microsoft.com/office/officeart/2005/8/layout/chevron2"/>
    <dgm:cxn modelId="{45B74F08-5475-7348-B588-E827674FBD7C}" type="presParOf" srcId="{428F09B0-3390-284C-832D-CAE99C094465}" destId="{98CF19DA-D7F6-6A40-8E45-65D5CA8EAC3C}" srcOrd="4" destOrd="0" presId="urn:microsoft.com/office/officeart/2005/8/layout/chevron2"/>
    <dgm:cxn modelId="{C7BBEB42-0F3B-5A47-9D39-61B874484238}" type="presParOf" srcId="{98CF19DA-D7F6-6A40-8E45-65D5CA8EAC3C}" destId="{8C02DC8D-A5EF-EB4D-8A82-3F69209E861D}" srcOrd="0" destOrd="0" presId="urn:microsoft.com/office/officeart/2005/8/layout/chevron2"/>
    <dgm:cxn modelId="{37A9C7FA-3F2B-5C46-8C9B-B0BC8F80DA61}" type="presParOf" srcId="{98CF19DA-D7F6-6A40-8E45-65D5CA8EAC3C}" destId="{56527179-1005-3444-9568-3F1643A1ADF9}" srcOrd="1" destOrd="0" presId="urn:microsoft.com/office/officeart/2005/8/layout/chevron2"/>
    <dgm:cxn modelId="{51F013D6-FC2A-6849-8B53-5A21B9A2A24E}" type="presParOf" srcId="{428F09B0-3390-284C-832D-CAE99C094465}" destId="{BBEBA8EB-6358-6045-B53A-4DCC6BFEC5BB}" srcOrd="5" destOrd="0" presId="urn:microsoft.com/office/officeart/2005/8/layout/chevron2"/>
    <dgm:cxn modelId="{02004D24-B21A-ED47-BB2C-1A961D150A24}" type="presParOf" srcId="{428F09B0-3390-284C-832D-CAE99C094465}" destId="{04119643-F138-7341-84B5-CB5F635798AB}" srcOrd="6" destOrd="0" presId="urn:microsoft.com/office/officeart/2005/8/layout/chevron2"/>
    <dgm:cxn modelId="{344F6AA4-1AE4-4C4F-865E-E9C7B98DD1AA}" type="presParOf" srcId="{04119643-F138-7341-84B5-CB5F635798AB}" destId="{833FF24C-E71E-E04F-91F1-1C6859871847}" srcOrd="0" destOrd="0" presId="urn:microsoft.com/office/officeart/2005/8/layout/chevron2"/>
    <dgm:cxn modelId="{E5352689-9170-2847-8A42-E83748087174}" type="presParOf" srcId="{04119643-F138-7341-84B5-CB5F635798AB}" destId="{42856FA0-2189-E341-89C0-BB9DC4A1F4D8}" srcOrd="1" destOrd="0" presId="urn:microsoft.com/office/officeart/2005/8/layout/chevron2"/>
    <dgm:cxn modelId="{A354AE15-9711-804B-BBC1-0E0C5F825FAF}" type="presParOf" srcId="{428F09B0-3390-284C-832D-CAE99C094465}" destId="{513819AD-EEA5-4A49-8F97-8237DE2DD566}" srcOrd="7" destOrd="0" presId="urn:microsoft.com/office/officeart/2005/8/layout/chevron2"/>
    <dgm:cxn modelId="{8FCC83AD-14A3-E04B-97D2-812C7FCA9CDD}" type="presParOf" srcId="{428F09B0-3390-284C-832D-CAE99C094465}" destId="{E3F18649-1820-D142-AD72-7076710A1ABB}" srcOrd="8" destOrd="0" presId="urn:microsoft.com/office/officeart/2005/8/layout/chevron2"/>
    <dgm:cxn modelId="{888CAD48-F70B-7A46-865E-B28F420102B8}" type="presParOf" srcId="{E3F18649-1820-D142-AD72-7076710A1ABB}" destId="{76B2B06B-0BC3-1E4E-812B-B8AC973742F5}" srcOrd="0" destOrd="0" presId="urn:microsoft.com/office/officeart/2005/8/layout/chevron2"/>
    <dgm:cxn modelId="{C656D045-0F07-E943-ACA8-2C2C9761BBD0}" type="presParOf" srcId="{E3F18649-1820-D142-AD72-7076710A1ABB}" destId="{7823496A-F112-A54E-B9AB-C45FE44E4C3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Risk assessment guidelines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6906122B-E0B0-824A-B8B4-090E19386262}" type="presOf" srcId="{3BB90A57-91BA-DD43-B1E5-031BE2120FE0}" destId="{EAA83B40-5A66-C14E-869B-7B3A3B5F06E4}" srcOrd="0" destOrd="0" presId="urn:microsoft.com/office/officeart/2005/8/layout/vList5"/>
    <dgm:cxn modelId="{86DFB641-E8DD-AF4F-B949-C19B0F7943BB}" type="presOf" srcId="{F1D9C26B-479D-1D41-B83B-938E65ADCAC9}"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BA678201-2CB7-E44F-970C-C1F8D175CDDD}" type="presOf" srcId="{0A016187-6EB2-E84C-9164-0DEE07C78BD3}" destId="{A9379DD6-745E-9848-BCF2-F21FAC005BC8}" srcOrd="0" destOrd="0" presId="urn:microsoft.com/office/officeart/2005/8/layout/vList5"/>
    <dgm:cxn modelId="{CF58A9CC-BA2F-104E-93B7-408C9C992168}"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7BA44753-BD9B-074E-AE8C-E08633E1D2BE}" type="presParOf" srcId="{EAA83B40-5A66-C14E-869B-7B3A3B5F06E4}" destId="{B0D13C56-5C01-4A45-8EE1-3CDAB7C1C8E1}" srcOrd="0" destOrd="0" presId="urn:microsoft.com/office/officeart/2005/8/layout/vList5"/>
    <dgm:cxn modelId="{29A82874-CF23-F14D-8F4A-9D6143D0895A}" type="presParOf" srcId="{B0D13C56-5C01-4A45-8EE1-3CDAB7C1C8E1}" destId="{A9379DD6-745E-9848-BCF2-F21FAC005BC8}" srcOrd="0" destOrd="0" presId="urn:microsoft.com/office/officeart/2005/8/layout/vList5"/>
    <dgm:cxn modelId="{C2B9D8FD-E883-C849-B279-C4D78F61022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Guidance on stakeholder engagement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02565"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4E01D62F-A711-CB41-93D1-9E903D22AE68}" type="presOf" srcId="{F1D9C26B-479D-1D41-B83B-938E65ADCAC9}" destId="{BDA074F8-79B5-FD4D-BAE5-7D3BB635FF80}" srcOrd="0" destOrd="1" presId="urn:microsoft.com/office/officeart/2005/8/layout/vList5"/>
    <dgm:cxn modelId="{8732B4EF-C535-CF42-B8CB-5AC258A2276B}" type="presOf" srcId="{0A016187-6EB2-E84C-9164-0DEE07C78BD3}" destId="{A9379DD6-745E-9848-BCF2-F21FAC005BC8}" srcOrd="0" destOrd="0" presId="urn:microsoft.com/office/officeart/2005/8/layout/vList5"/>
    <dgm:cxn modelId="{1F07827E-7BD5-A44C-A11C-E75D0138597D}"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0075E3AD-0864-FB4F-93F1-CA0D4A842969}" type="presOf" srcId="{3BB90A57-91BA-DD43-B1E5-031BE2120FE0}" destId="{EAA83B40-5A66-C14E-869B-7B3A3B5F06E4}" srcOrd="0" destOrd="0" presId="urn:microsoft.com/office/officeart/2005/8/layout/vList5"/>
    <dgm:cxn modelId="{DAB89BCD-2C1B-3244-ADC5-0A9619BDEFFB}" type="presParOf" srcId="{EAA83B40-5A66-C14E-869B-7B3A3B5F06E4}" destId="{B0D13C56-5C01-4A45-8EE1-3CDAB7C1C8E1}" srcOrd="0" destOrd="0" presId="urn:microsoft.com/office/officeart/2005/8/layout/vList5"/>
    <dgm:cxn modelId="{9617012E-96CF-044C-BE98-4E3755F4CCEF}" type="presParOf" srcId="{B0D13C56-5C01-4A45-8EE1-3CDAB7C1C8E1}" destId="{A9379DD6-745E-9848-BCF2-F21FAC005BC8}" srcOrd="0" destOrd="0" presId="urn:microsoft.com/office/officeart/2005/8/layout/vList5"/>
    <dgm:cxn modelId="{8A35A488-19DD-4348-9EF7-D9B800B1FC25}"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on South Africa and Namibia's concessioning, and the Tour de Tuli and Desert Knights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FEF63B35-7DFD-7442-AAD2-5BB2F0FC32FC}">
      <dgm:prSet phldrT="[Text]"/>
      <dgm:spPr/>
      <dgm:t>
        <a:bodyPr/>
        <a:lstStyle/>
        <a:p>
          <a:r>
            <a:rPr lang="en-US"/>
            <a:t>Where to source nformation on supply and demand (Annex X)</a:t>
          </a:r>
        </a:p>
      </dgm:t>
    </dgm:pt>
    <dgm:pt modelId="{9609BD52-24BE-6741-ACC8-B1A03DDCBA54}" type="parTrans" cxnId="{FB013858-F2DE-2A49-8CB7-1285C95483C8}">
      <dgm:prSet/>
      <dgm:spPr/>
    </dgm:pt>
    <dgm:pt modelId="{DAB9718C-AAC9-0E4A-AC1E-DE0C9C972693}" type="sibTrans" cxnId="{FB013858-F2DE-2A49-8CB7-1285C95483C8}">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DB6FACE9-C81F-3B48-B350-6D04F6EE0E6A}" type="presOf" srcId="{F1D9C26B-479D-1D41-B83B-938E65ADCAC9}" destId="{BDA074F8-79B5-FD4D-BAE5-7D3BB635FF80}" srcOrd="0" destOrd="2"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FB013858-F2DE-2A49-8CB7-1285C95483C8}" srcId="{0A016187-6EB2-E84C-9164-0DEE07C78BD3}" destId="{FEF63B35-7DFD-7442-AAD2-5BB2F0FC32FC}" srcOrd="1" destOrd="0" parTransId="{9609BD52-24BE-6741-ACC8-B1A03DDCBA54}" sibTransId="{DAB9718C-AAC9-0E4A-AC1E-DE0C9C972693}"/>
    <dgm:cxn modelId="{45216EB7-7929-944E-BF67-F81C92574ED3}" type="presOf" srcId="{0A016187-6EB2-E84C-9164-0DEE07C78BD3}" destId="{A9379DD6-745E-9848-BCF2-F21FAC005BC8}" srcOrd="0" destOrd="0" presId="urn:microsoft.com/office/officeart/2005/8/layout/vList5"/>
    <dgm:cxn modelId="{2B899A23-3B5C-394C-ACC9-78E3ADFBB955}" type="presOf" srcId="{E7A0CF74-1D69-3142-97CB-539F3F3C870F}" destId="{BDA074F8-79B5-FD4D-BAE5-7D3BB635FF80}" srcOrd="0" destOrd="0" presId="urn:microsoft.com/office/officeart/2005/8/layout/vList5"/>
    <dgm:cxn modelId="{E4C78908-8893-7748-BB30-752113CBB110}" type="presOf" srcId="{FEF63B35-7DFD-7442-AAD2-5BB2F0FC32FC}" destId="{BDA074F8-79B5-FD4D-BAE5-7D3BB635FF80}" srcOrd="0" destOrd="1" presId="urn:microsoft.com/office/officeart/2005/8/layout/vList5"/>
    <dgm:cxn modelId="{665FDFA5-6C73-7543-9CD8-AB2C244DF7BE}" type="presOf" srcId="{3BB90A57-91BA-DD43-B1E5-031BE2120FE0}" destId="{EAA83B40-5A66-C14E-869B-7B3A3B5F06E4}"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46938D24-CE88-F843-82A6-502549294F58}" srcId="{0A016187-6EB2-E84C-9164-0DEE07C78BD3}" destId="{F1D9C26B-479D-1D41-B83B-938E65ADCAC9}" srcOrd="2" destOrd="0" parTransId="{6B85CEB3-4309-3F4D-9913-F9286D92FDD9}" sibTransId="{4F833F32-5913-4C40-A1F1-DA5EB9AD0A0F}"/>
    <dgm:cxn modelId="{5995C66B-F917-1849-AA45-15EBECA623D9}" type="presParOf" srcId="{EAA83B40-5A66-C14E-869B-7B3A3B5F06E4}" destId="{B0D13C56-5C01-4A45-8EE1-3CDAB7C1C8E1}" srcOrd="0" destOrd="0" presId="urn:microsoft.com/office/officeart/2005/8/layout/vList5"/>
    <dgm:cxn modelId="{164AE943-9346-AF49-AFB3-F226B5453EA6}" type="presParOf" srcId="{B0D13C56-5C01-4A45-8EE1-3CDAB7C1C8E1}" destId="{A9379DD6-745E-9848-BCF2-F21FAC005BC8}" srcOrd="0" destOrd="0" presId="urn:microsoft.com/office/officeart/2005/8/layout/vList5"/>
    <dgm:cxn modelId="{537000EC-BD21-1942-9E5C-74F1088CE031}"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3: Procurment strategy</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Investment strategy</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B7BE52CD-A134-B844-B6A5-7ADCD8D3262B}">
      <dgm:prSet phldrT="[Text]" custT="1"/>
      <dgm:spPr/>
      <dgm:t>
        <a:bodyPr/>
        <a:lstStyle/>
        <a:p>
          <a:r>
            <a:rPr lang="en-US" sz="800"/>
            <a:t>Evaluation committee development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BA1A9D59-086C-1043-A5EC-CA39CB7604F5}">
      <dgm:prSet phldrT="[Text]" custT="1"/>
      <dgm:spPr/>
      <dgm:t>
        <a:bodyPr/>
        <a:lstStyle/>
        <a:p>
          <a:r>
            <a:rPr lang="en-US" sz="800"/>
            <a:t>Development of transaction materials</a:t>
          </a:r>
        </a:p>
      </dgm:t>
    </dgm:pt>
    <dgm:pt modelId="{DE6C54F4-D74E-CB4B-83A9-24180251CB74}" type="sibTrans" cxnId="{F0FE3D87-DDD1-EE43-BCCB-72479C7C84B1}">
      <dgm:prSet/>
      <dgm:spPr/>
      <dgm:t>
        <a:bodyPr/>
        <a:lstStyle/>
        <a:p>
          <a:endParaRPr lang="en-US"/>
        </a:p>
      </dgm:t>
    </dgm:pt>
    <dgm:pt modelId="{426A25A8-5B2C-5A42-B42F-326A02A9451B}" type="parTrans" cxnId="{F0FE3D87-DDD1-EE43-BCCB-72479C7C84B1}">
      <dgm:prSet/>
      <dgm:spPr/>
      <dgm:t>
        <a:bodyPr/>
        <a:lstStyle/>
        <a:p>
          <a:endParaRPr lang="en-US"/>
        </a:p>
      </dgm:t>
    </dgm:pt>
    <dgm:pt modelId="{D91BEC05-A33E-F245-BBA1-2E08D98E3404}">
      <dgm:prSet phldrT="[Text]" custT="1"/>
      <dgm:spPr/>
      <dgm:t>
        <a:bodyPr/>
        <a:lstStyle/>
        <a:p>
          <a:r>
            <a:rPr lang="en-US" sz="800"/>
            <a:t>Transaction strategy</a:t>
          </a:r>
        </a:p>
      </dgm:t>
    </dgm:pt>
    <dgm:pt modelId="{FC382E7E-7919-B94A-ABD2-29C2341524BE}" type="sibTrans" cxnId="{D33E1596-9CDB-B242-B83E-C4A07B7EBCB7}">
      <dgm:prSet/>
      <dgm:spPr/>
      <dgm:t>
        <a:bodyPr/>
        <a:lstStyle/>
        <a:p>
          <a:endParaRPr lang="en-US"/>
        </a:p>
      </dgm:t>
    </dgm:pt>
    <dgm:pt modelId="{54B587F7-0169-AC41-AEAD-C81A6D0B9471}" type="parTrans" cxnId="{D33E1596-9CDB-B242-B83E-C4A07B7EBCB7}">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9FECF025-2F75-9041-828C-7F97390BDF5D}" type="presOf" srcId="{6B48545D-785A-3846-AAF4-AC6200B0E3D1}" destId="{E9570D06-6D70-C34E-A29B-436B69AC095B}" srcOrd="0" destOrd="0" presId="urn:microsoft.com/office/officeart/2005/8/layout/chevron2"/>
    <dgm:cxn modelId="{715ADCD8-B118-484C-8145-4D03C10916B8}" type="presOf" srcId="{B7BE52CD-A134-B844-B6A5-7ADCD8D3262B}" destId="{FA6E9BCF-C9F4-7240-AB6C-2402D35AD945}" srcOrd="0" destOrd="3" presId="urn:microsoft.com/office/officeart/2005/8/layout/chevron2"/>
    <dgm:cxn modelId="{BACBCD5E-BDEF-D442-A85A-E79E88D9F212}" type="presOf" srcId="{ADF70F01-E271-8D4E-8097-EC196C8B15D9}" destId="{FA6E9BCF-C9F4-7240-AB6C-2402D35AD945}" srcOrd="0" destOrd="0" presId="urn:microsoft.com/office/officeart/2005/8/layout/chevron2"/>
    <dgm:cxn modelId="{186AA6C8-8020-E747-ADC7-B896A08A8A17}" type="presOf" srcId="{BA1A9D59-086C-1043-A5EC-CA39CB7604F5}" destId="{FA6E9BCF-C9F4-7240-AB6C-2402D35AD945}" srcOrd="0" destOrd="2"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BF485A3B-FAB3-B745-A7FB-161AC9F67718}" type="presOf" srcId="{D91BEC05-A33E-F245-BBA1-2E08D98E3404}" destId="{FA6E9BCF-C9F4-7240-AB6C-2402D35AD945}" srcOrd="0" destOrd="1" presId="urn:microsoft.com/office/officeart/2005/8/layout/chevron2"/>
    <dgm:cxn modelId="{650C2533-0274-DD4F-AC84-D8B6476660A4}" type="presOf" srcId="{5162D6FA-58BB-4B49-B2F9-175972B12724}" destId="{428F09B0-3390-284C-832D-CAE99C094465}" srcOrd="0" destOrd="0"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A521EAC7-8D23-8948-9284-56B68D5B2023}" srcId="{6B48545D-785A-3846-AAF4-AC6200B0E3D1}" destId="{B7BE52CD-A134-B844-B6A5-7ADCD8D3262B}" srcOrd="3" destOrd="0" parTransId="{44B15B51-C2CC-264D-AC36-DAD1C9B382D6}" sibTransId="{143AD93F-44F6-2F47-8DFA-65CDAD18E655}"/>
    <dgm:cxn modelId="{E035197A-AD3D-9D4C-B25D-339C02D09FF2}" type="presParOf" srcId="{428F09B0-3390-284C-832D-CAE99C094465}" destId="{CA026B3D-6835-3A42-A6D0-465C10E8242F}" srcOrd="0" destOrd="0" presId="urn:microsoft.com/office/officeart/2005/8/layout/chevron2"/>
    <dgm:cxn modelId="{8BE20074-CA89-DA40-A159-66FAF6C23326}" type="presParOf" srcId="{CA026B3D-6835-3A42-A6D0-465C10E8242F}" destId="{E9570D06-6D70-C34E-A29B-436B69AC095B}" srcOrd="0" destOrd="0" presId="urn:microsoft.com/office/officeart/2005/8/layout/chevron2"/>
    <dgm:cxn modelId="{B9B2633B-EA77-4147-9725-87B9BCCA9090}"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Examples of promotional materials for tourism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5DCAB69A-4FC4-9E4C-A555-5A6BBCC302BC}" type="presOf" srcId="{3BB90A57-91BA-DD43-B1E5-031BE2120FE0}" destId="{EAA83B40-5A66-C14E-869B-7B3A3B5F06E4}" srcOrd="0" destOrd="0" presId="urn:microsoft.com/office/officeart/2005/8/layout/vList5"/>
    <dgm:cxn modelId="{58CCF6F3-851D-D24C-AA50-068408721729}" type="presOf" srcId="{E7A0CF74-1D69-3142-97CB-539F3F3C870F}" destId="{BDA074F8-79B5-FD4D-BAE5-7D3BB635FF80}"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E55B50D2-6B2A-904B-8EAB-95A285C0802E}" type="presOf" srcId="{F1D9C26B-479D-1D41-B83B-938E65ADCAC9}" destId="{BDA074F8-79B5-FD4D-BAE5-7D3BB635FF80}" srcOrd="0" destOrd="1" presId="urn:microsoft.com/office/officeart/2005/8/layout/vList5"/>
    <dgm:cxn modelId="{B99BCA11-68F0-A743-80B2-445CD31C12D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A32E5F81-F938-D64C-B9E2-D05AE5F8B67D}" type="presParOf" srcId="{EAA83B40-5A66-C14E-869B-7B3A3B5F06E4}" destId="{B0D13C56-5C01-4A45-8EE1-3CDAB7C1C8E1}" srcOrd="0" destOrd="0" presId="urn:microsoft.com/office/officeart/2005/8/layout/vList5"/>
    <dgm:cxn modelId="{0EB9B449-C1C4-0F48-AA30-A50483E3B82B}" type="presParOf" srcId="{B0D13C56-5C01-4A45-8EE1-3CDAB7C1C8E1}" destId="{A9379DD6-745E-9848-BCF2-F21FAC005BC8}" srcOrd="0" destOrd="0" presId="urn:microsoft.com/office/officeart/2005/8/layout/vList5"/>
    <dgm:cxn modelId="{B3C5B688-C118-6E41-AEFC-8C5B545E0BA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Toolkits for concessioning tourism from within SADC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999947EE-0632-F347-9030-2A28DEACB41D}">
      <dgm:prSet phldrT="[Text]"/>
      <dgm:spPr/>
      <dgm:t>
        <a:bodyPr/>
        <a:lstStyle/>
        <a:p>
          <a:r>
            <a:rPr lang="en-US"/>
            <a:t>Tools for generalconcessioning from the World Bank (Annex X)</a:t>
          </a:r>
        </a:p>
      </dgm:t>
    </dgm:pt>
    <dgm:pt modelId="{C5A2A74E-A87F-B046-8DC3-0835792FD9FB}" type="parTrans" cxnId="{F69FA782-F44C-824E-82E6-D21A8433D4F2}">
      <dgm:prSet/>
      <dgm:spPr/>
      <dgm:t>
        <a:bodyPr/>
        <a:lstStyle/>
        <a:p>
          <a:endParaRPr lang="en-US"/>
        </a:p>
      </dgm:t>
    </dgm:pt>
    <dgm:pt modelId="{A80CDE4B-E483-E340-91D6-5038CD24B025}" type="sibTrans" cxnId="{F69FA782-F44C-824E-82E6-D21A8433D4F2}">
      <dgm:prSet/>
      <dgm:spPr/>
      <dgm:t>
        <a:bodyPr/>
        <a:lstStyle/>
        <a:p>
          <a:endParaRPr lang="en-US"/>
        </a:p>
      </dgm:t>
    </dgm:pt>
    <dgm:pt modelId="{755BFB2E-E6F9-2246-BE24-23C0AF8C6E80}">
      <dgm:prSet phldrT="[Text]"/>
      <dgm:spPr/>
      <dgm:t>
        <a:bodyPr/>
        <a:lstStyle/>
        <a:p>
          <a:r>
            <a:rPr lang="en-US"/>
            <a:t>Guidance on dealing with unsolicited proposals (Annex X)</a:t>
          </a:r>
        </a:p>
      </dgm:t>
    </dgm:pt>
    <dgm:pt modelId="{F061F5A8-4401-FA46-B122-6AC598922DAF}" type="parTrans" cxnId="{99EC5C56-0635-CD44-8CD7-8FF9A60AC128}">
      <dgm:prSet/>
      <dgm:spPr/>
      <dgm:t>
        <a:bodyPr/>
        <a:lstStyle/>
        <a:p>
          <a:endParaRPr lang="en-US"/>
        </a:p>
      </dgm:t>
    </dgm:pt>
    <dgm:pt modelId="{B5DFD4AB-F96E-784E-9F3D-C7B81E924123}" type="sibTrans" cxnId="{99EC5C56-0635-CD44-8CD7-8FF9A60AC12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E50983D2-DDAE-C04D-AAED-58089F1B0300}" type="presOf" srcId="{755BFB2E-E6F9-2246-BE24-23C0AF8C6E80}" destId="{BDA074F8-79B5-FD4D-BAE5-7D3BB635FF80}" srcOrd="0" destOrd="2" presId="urn:microsoft.com/office/officeart/2005/8/layout/vList5"/>
    <dgm:cxn modelId="{C5856D11-5220-6F42-9CC0-03E97C601BA9}" type="presOf" srcId="{3BB90A57-91BA-DD43-B1E5-031BE2120FE0}" destId="{EAA83B40-5A66-C14E-869B-7B3A3B5F06E4}" srcOrd="0" destOrd="0" presId="urn:microsoft.com/office/officeart/2005/8/layout/vList5"/>
    <dgm:cxn modelId="{99EC5C56-0635-CD44-8CD7-8FF9A60AC128}" srcId="{0A016187-6EB2-E84C-9164-0DEE07C78BD3}" destId="{755BFB2E-E6F9-2246-BE24-23C0AF8C6E80}" srcOrd="2" destOrd="0" parTransId="{F061F5A8-4401-FA46-B122-6AC598922DAF}" sibTransId="{B5DFD4AB-F96E-784E-9F3D-C7B81E924123}"/>
    <dgm:cxn modelId="{F69FA782-F44C-824E-82E6-D21A8433D4F2}" srcId="{0A016187-6EB2-E84C-9164-0DEE07C78BD3}" destId="{999947EE-0632-F347-9030-2A28DEACB41D}" srcOrd="1" destOrd="0" parTransId="{C5A2A74E-A87F-B046-8DC3-0835792FD9FB}" sibTransId="{A80CDE4B-E483-E340-91D6-5038CD24B025}"/>
    <dgm:cxn modelId="{B9C66707-BA3D-6B44-9B8E-91E3D2243A38}" type="presOf" srcId="{999947EE-0632-F347-9030-2A28DEACB41D}" destId="{BDA074F8-79B5-FD4D-BAE5-7D3BB635FF80}" srcOrd="0" destOrd="1" presId="urn:microsoft.com/office/officeart/2005/8/layout/vList5"/>
    <dgm:cxn modelId="{62819FD7-C710-C84B-A907-DE28F65C9E32}"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99EEA119-E74B-1347-9E6B-14DC5BAD171A}"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88CD5606-BD4F-3A4F-9FE6-D983CFD4F15D}" type="presOf" srcId="{F1D9C26B-479D-1D41-B83B-938E65ADCAC9}" destId="{BDA074F8-79B5-FD4D-BAE5-7D3BB635FF80}" srcOrd="0" destOrd="3" presId="urn:microsoft.com/office/officeart/2005/8/layout/vList5"/>
    <dgm:cxn modelId="{46938D24-CE88-F843-82A6-502549294F58}" srcId="{0A016187-6EB2-E84C-9164-0DEE07C78BD3}" destId="{F1D9C26B-479D-1D41-B83B-938E65ADCAC9}" srcOrd="3" destOrd="0" parTransId="{6B85CEB3-4309-3F4D-9913-F9286D92FDD9}" sibTransId="{4F833F32-5913-4C40-A1F1-DA5EB9AD0A0F}"/>
    <dgm:cxn modelId="{E01CC476-FCF6-744C-B0B4-FBC98215D455}" type="presParOf" srcId="{EAA83B40-5A66-C14E-869B-7B3A3B5F06E4}" destId="{B0D13C56-5C01-4A45-8EE1-3CDAB7C1C8E1}" srcOrd="0" destOrd="0" presId="urn:microsoft.com/office/officeart/2005/8/layout/vList5"/>
    <dgm:cxn modelId="{DCD6918D-3A31-314E-92B0-1E5BDE7E3313}" type="presParOf" srcId="{B0D13C56-5C01-4A45-8EE1-3CDAB7C1C8E1}" destId="{A9379DD6-745E-9848-BCF2-F21FAC005BC8}" srcOrd="0" destOrd="0" presId="urn:microsoft.com/office/officeart/2005/8/layout/vList5"/>
    <dgm:cxn modelId="{0E0530B0-7E2A-DA4B-941F-E90FEDC44499}"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Template EoIs, Prequalification requests, RfPs, concession agreemnets and screening checklists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3FB1367B-336F-7E47-87D6-3C48FFA54EAB}">
      <dgm:prSet phldrT="[Text]"/>
      <dgm:spPr/>
      <dgm:t>
        <a:bodyPr/>
        <a:lstStyle/>
        <a:p>
          <a:r>
            <a:rPr lang="en-US"/>
            <a:t>Guidance for establishing data rooms (Annex X)</a:t>
          </a:r>
        </a:p>
      </dgm:t>
    </dgm:pt>
    <dgm:pt modelId="{1312E325-9419-FF4D-BD0D-68ABA2263B57}" type="parTrans" cxnId="{B95385C7-264E-9443-AA42-B2C348828C8B}">
      <dgm:prSet/>
      <dgm:spPr/>
      <dgm:t>
        <a:bodyPr/>
        <a:lstStyle/>
        <a:p>
          <a:endParaRPr lang="en-US"/>
        </a:p>
      </dgm:t>
    </dgm:pt>
    <dgm:pt modelId="{129C3B7B-80F4-FE48-BD88-C450CA375577}" type="sibTrans" cxnId="{B95385C7-264E-9443-AA42-B2C348828C8B}">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9504295C-7176-F444-AC71-4D758A38E4C5}" type="presOf" srcId="{F1D9C26B-479D-1D41-B83B-938E65ADCAC9}" destId="{BDA074F8-79B5-FD4D-BAE5-7D3BB635FF80}" srcOrd="0" destOrd="2" presId="urn:microsoft.com/office/officeart/2005/8/layout/vList5"/>
    <dgm:cxn modelId="{2F26EC8A-5CD4-854C-8735-F21FFF0428FD}" type="presOf" srcId="{3FB1367B-336F-7E47-87D6-3C48FFA54EAB}"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CDCFC8C1-65A0-504E-B3CF-54E2C098D213}" type="presOf" srcId="{3BB90A57-91BA-DD43-B1E5-031BE2120FE0}" destId="{EAA83B40-5A66-C14E-869B-7B3A3B5F06E4}" srcOrd="0" destOrd="0" presId="urn:microsoft.com/office/officeart/2005/8/layout/vList5"/>
    <dgm:cxn modelId="{4A760A25-9A42-F046-A790-1EAEC337A6BC}" type="presOf" srcId="{0A016187-6EB2-E84C-9164-0DEE07C78BD3}" destId="{A9379DD6-745E-9848-BCF2-F21FAC005BC8}" srcOrd="0" destOrd="0" presId="urn:microsoft.com/office/officeart/2005/8/layout/vList5"/>
    <dgm:cxn modelId="{0DD625E2-F71D-E64A-9D60-F4470436E3A5}" type="presOf" srcId="{E7A0CF74-1D69-3142-97CB-539F3F3C870F}" destId="{BDA074F8-79B5-FD4D-BAE5-7D3BB635FF80}" srcOrd="0" destOrd="0" presId="urn:microsoft.com/office/officeart/2005/8/layout/vList5"/>
    <dgm:cxn modelId="{B95385C7-264E-9443-AA42-B2C348828C8B}" srcId="{0A016187-6EB2-E84C-9164-0DEE07C78BD3}" destId="{3FB1367B-336F-7E47-87D6-3C48FFA54EAB}" srcOrd="1" destOrd="0" parTransId="{1312E325-9419-FF4D-BD0D-68ABA2263B57}" sibTransId="{129C3B7B-80F4-FE48-BD88-C450CA375577}"/>
    <dgm:cxn modelId="{46938D24-CE88-F843-82A6-502549294F58}" srcId="{0A016187-6EB2-E84C-9164-0DEE07C78BD3}" destId="{F1D9C26B-479D-1D41-B83B-938E65ADCAC9}" srcOrd="2" destOrd="0" parTransId="{6B85CEB3-4309-3F4D-9913-F9286D92FDD9}" sibTransId="{4F833F32-5913-4C40-A1F1-DA5EB9AD0A0F}"/>
    <dgm:cxn modelId="{50A3C75C-84E8-4140-BD89-83F24023A339}" type="presParOf" srcId="{EAA83B40-5A66-C14E-869B-7B3A3B5F06E4}" destId="{B0D13C56-5C01-4A45-8EE1-3CDAB7C1C8E1}" srcOrd="0" destOrd="0" presId="urn:microsoft.com/office/officeart/2005/8/layout/vList5"/>
    <dgm:cxn modelId="{0F2143C3-93FF-774E-B63C-78F4F1D5A34B}" type="presParOf" srcId="{B0D13C56-5C01-4A45-8EE1-3CDAB7C1C8E1}" destId="{A9379DD6-745E-9848-BCF2-F21FAC005BC8}" srcOrd="0" destOrd="0" presId="urn:microsoft.com/office/officeart/2005/8/layout/vList5"/>
    <dgm:cxn modelId="{7D0CC13B-0B71-CA4C-94CE-7241E8C44EF9}"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Evaulation committee terms of reference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022CB332-293E-F844-BE8E-CF367E8D412C}" type="presOf" srcId="{0A016187-6EB2-E84C-9164-0DEE07C78BD3}" destId="{A9379DD6-745E-9848-BCF2-F21FAC005BC8}" srcOrd="0" destOrd="0" presId="urn:microsoft.com/office/officeart/2005/8/layout/vList5"/>
    <dgm:cxn modelId="{FDDE9DE1-CAF7-1D4E-B5D6-738AD950BEEB}" type="presOf" srcId="{3BB90A57-91BA-DD43-B1E5-031BE2120FE0}" destId="{EAA83B40-5A66-C14E-869B-7B3A3B5F06E4}" srcOrd="0" destOrd="0" presId="urn:microsoft.com/office/officeart/2005/8/layout/vList5"/>
    <dgm:cxn modelId="{B91E47A7-86D4-834A-AFB0-37745FE9028D}"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47E7528B-FD72-F545-A221-A313BD62C3A6}" type="presOf" srcId="{E7A0CF74-1D69-3142-97CB-539F3F3C870F}" destId="{BDA074F8-79B5-FD4D-BAE5-7D3BB635FF80}" srcOrd="0" destOrd="0" presId="urn:microsoft.com/office/officeart/2005/8/layout/vList5"/>
    <dgm:cxn modelId="{396C6BCB-E77C-6744-B1B4-5D72D178CD0C}" type="presParOf" srcId="{EAA83B40-5A66-C14E-869B-7B3A3B5F06E4}" destId="{B0D13C56-5C01-4A45-8EE1-3CDAB7C1C8E1}" srcOrd="0" destOrd="0" presId="urn:microsoft.com/office/officeart/2005/8/layout/vList5"/>
    <dgm:cxn modelId="{29A5BEB5-47A3-3B4B-AC93-779469CAB8CE}" type="presParOf" srcId="{B0D13C56-5C01-4A45-8EE1-3CDAB7C1C8E1}" destId="{A9379DD6-745E-9848-BCF2-F21FAC005BC8}" srcOrd="0" destOrd="0" presId="urn:microsoft.com/office/officeart/2005/8/layout/vList5"/>
    <dgm:cxn modelId="{DCB0AB51-5B62-9A40-8AF2-758011ACB7B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4: Transaction management</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Procurement process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Win-win deals and things to avoid</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C998464D-94CE-BB45-A49B-FD5F1370EE3D}" type="presOf" srcId="{6B48545D-785A-3846-AAF4-AC6200B0E3D1}" destId="{E9570D06-6D70-C34E-A29B-436B69AC095B}" srcOrd="0" destOrd="0"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D33E1596-9CDB-B242-B83E-C4A07B7EBCB7}" srcId="{6B48545D-785A-3846-AAF4-AC6200B0E3D1}" destId="{D91BEC05-A33E-F245-BBA1-2E08D98E3404}" srcOrd="1" destOrd="0" parTransId="{54B587F7-0169-AC41-AEAD-C81A6D0B9471}" sibTransId="{FC382E7E-7919-B94A-ABD2-29C2341524BE}"/>
    <dgm:cxn modelId="{4F09BFCF-FDF3-DC47-884F-9B189C93E09B}" type="presOf" srcId="{D91BEC05-A33E-F245-BBA1-2E08D98E3404}" destId="{FA6E9BCF-C9F4-7240-AB6C-2402D35AD945}" srcOrd="0" destOrd="1" presId="urn:microsoft.com/office/officeart/2005/8/layout/chevron2"/>
    <dgm:cxn modelId="{7913659B-19B0-8842-846B-81828BAE1BCB}" type="presOf" srcId="{ADF70F01-E271-8D4E-8097-EC196C8B15D9}" destId="{FA6E9BCF-C9F4-7240-AB6C-2402D35AD945}" srcOrd="0" destOrd="0" presId="urn:microsoft.com/office/officeart/2005/8/layout/chevron2"/>
    <dgm:cxn modelId="{18E539F8-80F0-A243-8671-24024EFCC637}" srcId="{6B48545D-785A-3846-AAF4-AC6200B0E3D1}" destId="{ADF70F01-E271-8D4E-8097-EC196C8B15D9}" srcOrd="0" destOrd="0" parTransId="{CDA03D56-40C0-6F43-A5C2-73C5B9F10B0C}" sibTransId="{673D64B7-3BFF-FE4A-B1AE-CE231B86ED37}"/>
    <dgm:cxn modelId="{78E8B2F3-28BB-264E-873F-737D03BE03D2}" type="presOf" srcId="{5162D6FA-58BB-4B49-B2F9-175972B12724}" destId="{428F09B0-3390-284C-832D-CAE99C094465}" srcOrd="0" destOrd="0" presId="urn:microsoft.com/office/officeart/2005/8/layout/chevron2"/>
    <dgm:cxn modelId="{80D39ADF-EA6D-8F43-B920-C9EB56E9BCD5}" type="presParOf" srcId="{428F09B0-3390-284C-832D-CAE99C094465}" destId="{CA026B3D-6835-3A42-A6D0-465C10E8242F}" srcOrd="0" destOrd="0" presId="urn:microsoft.com/office/officeart/2005/8/layout/chevron2"/>
    <dgm:cxn modelId="{7545687A-12D2-1346-8675-6486C72A710E}" type="presParOf" srcId="{CA026B3D-6835-3A42-A6D0-465C10E8242F}" destId="{E9570D06-6D70-C34E-A29B-436B69AC095B}" srcOrd="0" destOrd="0" presId="urn:microsoft.com/office/officeart/2005/8/layout/chevron2"/>
    <dgm:cxn modelId="{81964F55-460D-2041-B3F2-3DF2FB04059A}"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Concessionning toolkit for South Africa; Policy for Namibia; Tookit for Mozambique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E6D1FADA-5C3F-BB47-AC71-81B6F37C945F}" type="presOf" srcId="{0A016187-6EB2-E84C-9164-0DEE07C78BD3}" destId="{A9379DD6-745E-9848-BCF2-F21FAC005BC8}" srcOrd="0" destOrd="0" presId="urn:microsoft.com/office/officeart/2005/8/layout/vList5"/>
    <dgm:cxn modelId="{21F2B32D-B14B-714E-94DA-912C18C2B849}"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2F325DCF-8300-B14E-8B08-E0B996021D0F}" type="presOf" srcId="{3BB90A57-91BA-DD43-B1E5-031BE2120FE0}" destId="{EAA83B40-5A66-C14E-869B-7B3A3B5F06E4}" srcOrd="0" destOrd="0" presId="urn:microsoft.com/office/officeart/2005/8/layout/vList5"/>
    <dgm:cxn modelId="{39FFD03F-7D3A-984E-894C-36E8434D5DE1}" type="presOf" srcId="{E7A0CF74-1D69-3142-97CB-539F3F3C870F}" destId="{BDA074F8-79B5-FD4D-BAE5-7D3BB635FF80}" srcOrd="0" destOrd="0" presId="urn:microsoft.com/office/officeart/2005/8/layout/vList5"/>
    <dgm:cxn modelId="{95137FEC-1234-4546-B10D-61BBBA125344}" type="presParOf" srcId="{EAA83B40-5A66-C14E-869B-7B3A3B5F06E4}" destId="{B0D13C56-5C01-4A45-8EE1-3CDAB7C1C8E1}" srcOrd="0" destOrd="0" presId="urn:microsoft.com/office/officeart/2005/8/layout/vList5"/>
    <dgm:cxn modelId="{D975D4CC-6D0B-694F-B9AB-E3A196D5F9E3}" type="presParOf" srcId="{B0D13C56-5C01-4A45-8EE1-3CDAB7C1C8E1}" destId="{A9379DD6-745E-9848-BCF2-F21FAC005BC8}" srcOrd="0" destOrd="0" presId="urn:microsoft.com/office/officeart/2005/8/layout/vList5"/>
    <dgm:cxn modelId="{8616718D-6C1E-0A4D-B609-A91A1660AB3F}"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1: Scoping</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Goals, motivations and objectives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Concessions experience</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Potential barriers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Whether to proceed or not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E9DC8E7A-2C96-0E48-8282-022EDDFD293B}" type="presOf" srcId="{ADF70F01-E271-8D4E-8097-EC196C8B15D9}" destId="{FA6E9BCF-C9F4-7240-AB6C-2402D35AD945}" srcOrd="0" destOrd="0" presId="urn:microsoft.com/office/officeart/2005/8/layout/chevron2"/>
    <dgm:cxn modelId="{681A3A20-88B4-1F4A-919C-4F998CEA99AE}" type="presOf" srcId="{D91BEC05-A33E-F245-BBA1-2E08D98E3404}" destId="{FA6E9BCF-C9F4-7240-AB6C-2402D35AD945}" srcOrd="0" destOrd="1"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B77B1793-6247-A344-A678-9C7E748163F7}" type="presOf" srcId="{BA1A9D59-086C-1043-A5EC-CA39CB7604F5}" destId="{FA6E9BCF-C9F4-7240-AB6C-2402D35AD945}" srcOrd="0" destOrd="2"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77675131-653B-B045-9D2D-E3B620A7348D}" type="presOf" srcId="{6B48545D-785A-3846-AAF4-AC6200B0E3D1}" destId="{E9570D06-6D70-C34E-A29B-436B69AC095B}" srcOrd="0" destOrd="0" presId="urn:microsoft.com/office/officeart/2005/8/layout/chevron2"/>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3491E300-E664-E54A-8547-F90BB143DD33}" type="presOf" srcId="{5162D6FA-58BB-4B49-B2F9-175972B12724}" destId="{428F09B0-3390-284C-832D-CAE99C094465}" srcOrd="0" destOrd="0" presId="urn:microsoft.com/office/officeart/2005/8/layout/chevron2"/>
    <dgm:cxn modelId="{A521EAC7-8D23-8948-9284-56B68D5B2023}" srcId="{6B48545D-785A-3846-AAF4-AC6200B0E3D1}" destId="{B7BE52CD-A134-B844-B6A5-7ADCD8D3262B}" srcOrd="3" destOrd="0" parTransId="{44B15B51-C2CC-264D-AC36-DAD1C9B382D6}" sibTransId="{143AD93F-44F6-2F47-8DFA-65CDAD18E655}"/>
    <dgm:cxn modelId="{53F0607E-30F8-9C4E-9CF4-DD2AF6BAAC1F}" type="presOf" srcId="{B7BE52CD-A134-B844-B6A5-7ADCD8D3262B}" destId="{FA6E9BCF-C9F4-7240-AB6C-2402D35AD945}" srcOrd="0" destOrd="3" presId="urn:microsoft.com/office/officeart/2005/8/layout/chevron2"/>
    <dgm:cxn modelId="{630CAAE9-4FE1-834D-B351-2E91942DFD0B}" type="presParOf" srcId="{428F09B0-3390-284C-832D-CAE99C094465}" destId="{CA026B3D-6835-3A42-A6D0-465C10E8242F}" srcOrd="0" destOrd="0" presId="urn:microsoft.com/office/officeart/2005/8/layout/chevron2"/>
    <dgm:cxn modelId="{0D7D1057-EAEE-5147-9A08-644C054CCF63}" type="presParOf" srcId="{CA026B3D-6835-3A42-A6D0-465C10E8242F}" destId="{E9570D06-6D70-C34E-A29B-436B69AC095B}" srcOrd="0" destOrd="0" presId="urn:microsoft.com/office/officeart/2005/8/layout/chevron2"/>
    <dgm:cxn modelId="{3B1AD973-6F8D-1B44-BE2D-4803AD9BA2D7}"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of successful concessions iin SADC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51D8839A-DB26-7947-BD49-15FADE4E6ABA}" type="presOf" srcId="{3BB90A57-91BA-DD43-B1E5-031BE2120FE0}" destId="{EAA83B40-5A66-C14E-869B-7B3A3B5F06E4}"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8ABE87A2-7FB2-9E40-8BAC-AD3D5C6910FE}" type="presOf" srcId="{0A016187-6EB2-E84C-9164-0DEE07C78BD3}" destId="{A9379DD6-745E-9848-BCF2-F21FAC005BC8}" srcOrd="0" destOrd="0" presId="urn:microsoft.com/office/officeart/2005/8/layout/vList5"/>
    <dgm:cxn modelId="{9FDF107E-D10D-054B-A601-9AAE5258B768}"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18C78D76-7277-9540-8CC2-11BA587D4F14}" type="presOf" srcId="{E7A0CF74-1D69-3142-97CB-539F3F3C870F}" destId="{BDA074F8-79B5-FD4D-BAE5-7D3BB635FF80}" srcOrd="0" destOrd="0" presId="urn:microsoft.com/office/officeart/2005/8/layout/vList5"/>
    <dgm:cxn modelId="{AFF959D7-71C5-3646-AA2B-34DE8CAEEBCB}" type="presParOf" srcId="{EAA83B40-5A66-C14E-869B-7B3A3B5F06E4}" destId="{B0D13C56-5C01-4A45-8EE1-3CDAB7C1C8E1}" srcOrd="0" destOrd="0" presId="urn:microsoft.com/office/officeart/2005/8/layout/vList5"/>
    <dgm:cxn modelId="{332AE17D-50FE-A346-B7EF-4853A0157E50}" type="presParOf" srcId="{B0D13C56-5C01-4A45-8EE1-3CDAB7C1C8E1}" destId="{A9379DD6-745E-9848-BCF2-F21FAC005BC8}" srcOrd="0" destOrd="0" presId="urn:microsoft.com/office/officeart/2005/8/layout/vList5"/>
    <dgm:cxn modelId="{6758788A-9BE7-3A49-8B3A-2426182F83C6}"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5: Contract management</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Capacity and skills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Manuals</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End of concession and next steps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custLinFactNeighborX="-9756" custLinFactNeighborY="-5366">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custLinFactNeighborX="284" custLinFactNeighborY="-8255">
        <dgm:presLayoutVars>
          <dgm:bulletEnabled val="1"/>
        </dgm:presLayoutVars>
      </dgm:prSet>
      <dgm:spPr/>
      <dgm:t>
        <a:bodyPr/>
        <a:lstStyle/>
        <a:p>
          <a:endParaRPr lang="en-US"/>
        </a:p>
      </dgm:t>
    </dgm:pt>
  </dgm:ptLst>
  <dgm:cxnLst>
    <dgm:cxn modelId="{7B9A0633-1AED-464B-8441-E54FF02A7D7D}" srcId="{5162D6FA-58BB-4B49-B2F9-175972B12724}" destId="{6B48545D-785A-3846-AAF4-AC6200B0E3D1}" srcOrd="0" destOrd="0" parTransId="{883A58C6-01C1-254A-887F-200A58AE3599}" sibTransId="{CE07943A-908D-864E-8D84-19C9DFC6A046}"/>
    <dgm:cxn modelId="{6C711B3C-2C07-2449-855F-F6F1CE9EA642}" type="presOf" srcId="{BA1A9D59-086C-1043-A5EC-CA39CB7604F5}" destId="{FA6E9BCF-C9F4-7240-AB6C-2402D35AD945}" srcOrd="0" destOrd="2" presId="urn:microsoft.com/office/officeart/2005/8/layout/chevron2"/>
    <dgm:cxn modelId="{79C4E0F8-96E9-8648-BE90-8300BEF1BA71}" type="presOf" srcId="{D91BEC05-A33E-F245-BBA1-2E08D98E3404}" destId="{FA6E9BCF-C9F4-7240-AB6C-2402D35AD945}" srcOrd="0" destOrd="1"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298440C2-5596-884C-8573-D73A8F92A7E6}" type="presOf" srcId="{ADF70F01-E271-8D4E-8097-EC196C8B15D9}" destId="{FA6E9BCF-C9F4-7240-AB6C-2402D35AD945}" srcOrd="0" destOrd="0" presId="urn:microsoft.com/office/officeart/2005/8/layout/chevron2"/>
    <dgm:cxn modelId="{EC6DAE1E-47B4-D542-AA11-DA4F563A7C8D}" type="presOf" srcId="{5162D6FA-58BB-4B49-B2F9-175972B12724}" destId="{428F09B0-3390-284C-832D-CAE99C094465}" srcOrd="0" destOrd="0" presId="urn:microsoft.com/office/officeart/2005/8/layout/chevron2"/>
    <dgm:cxn modelId="{8EA8F5B6-AF2C-2240-8F6E-59AD0D8A03E8}" type="presOf" srcId="{6B48545D-785A-3846-AAF4-AC6200B0E3D1}" destId="{E9570D06-6D70-C34E-A29B-436B69AC095B}" srcOrd="0" destOrd="0" presId="urn:microsoft.com/office/officeart/2005/8/layout/chevron2"/>
    <dgm:cxn modelId="{C82DBAD7-027D-744D-86EB-19A14898710F}" type="presParOf" srcId="{428F09B0-3390-284C-832D-CAE99C094465}" destId="{CA026B3D-6835-3A42-A6D0-465C10E8242F}" srcOrd="0" destOrd="0" presId="urn:microsoft.com/office/officeart/2005/8/layout/chevron2"/>
    <dgm:cxn modelId="{9F40013B-BCC6-E144-8F01-32CE668FE7B2}" type="presParOf" srcId="{CA026B3D-6835-3A42-A6D0-465C10E8242F}" destId="{E9570D06-6D70-C34E-A29B-436B69AC095B}" srcOrd="0" destOrd="0" presId="urn:microsoft.com/office/officeart/2005/8/layout/chevron2"/>
    <dgm:cxn modelId="{51BC4DBA-0F4D-AA4C-A8A2-860931868581}"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Concessionning training manual, for Lesotho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6C997BD7-6679-CC43-B4DC-EEE310813678}"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663ECC81-E55D-AB44-A378-425F6E6B75A7}" type="presOf" srcId="{3BB90A57-91BA-DD43-B1E5-031BE2120FE0}" destId="{EAA83B40-5A66-C14E-869B-7B3A3B5F06E4}" srcOrd="0" destOrd="0" presId="urn:microsoft.com/office/officeart/2005/8/layout/vList5"/>
    <dgm:cxn modelId="{3AF4570C-42E8-DC45-A096-401CAB0C248A}" type="presOf" srcId="{F1D9C26B-479D-1D41-B83B-938E65ADCAC9}" destId="{BDA074F8-79B5-FD4D-BAE5-7D3BB635FF80}" srcOrd="0" destOrd="1" presId="urn:microsoft.com/office/officeart/2005/8/layout/vList5"/>
    <dgm:cxn modelId="{48C827C3-380E-EB41-A51E-20791E9F6521}"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27FD4A43-F52A-4540-9DE9-93C683304654}" type="presParOf" srcId="{EAA83B40-5A66-C14E-869B-7B3A3B5F06E4}" destId="{B0D13C56-5C01-4A45-8EE1-3CDAB7C1C8E1}" srcOrd="0" destOrd="0" presId="urn:microsoft.com/office/officeart/2005/8/layout/vList5"/>
    <dgm:cxn modelId="{EE324F9F-5AC6-B243-9F6E-BFA570EC3C1C}" type="presParOf" srcId="{B0D13C56-5C01-4A45-8EE1-3CDAB7C1C8E1}" destId="{A9379DD6-745E-9848-BCF2-F21FAC005BC8}" srcOrd="0" destOrd="0" presId="urn:microsoft.com/office/officeart/2005/8/layout/vList5"/>
    <dgm:cxn modelId="{376FDE9E-9BA5-5F4F-8B6A-8FBFC3CD3B88}"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Monitoring and evaluation tools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52898E95-605C-284E-9614-63F232DE740D}">
      <dgm:prSet phldrT="[Text]"/>
      <dgm:spPr/>
      <dgm:t>
        <a:bodyPr/>
        <a:lstStyle/>
        <a:p>
          <a:r>
            <a:rPr lang="en-US"/>
            <a:t>Template concession manuals (Annex X)</a:t>
          </a:r>
        </a:p>
      </dgm:t>
    </dgm:pt>
    <dgm:pt modelId="{EB0AB67C-0964-0643-BBFA-7BC0A7DD42BB}" type="parTrans" cxnId="{DC049EA0-98C0-F448-A822-125ABE4DFB27}">
      <dgm:prSet/>
      <dgm:spPr/>
    </dgm:pt>
    <dgm:pt modelId="{E0F8F78B-9837-F34A-8120-9A907F0C07C3}" type="sibTrans" cxnId="{DC049EA0-98C0-F448-A822-125ABE4DFB27}">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E6585CD9-18D7-F54C-8605-7E30FD85C704}"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529ADC52-A65B-A94C-BC5C-637A9A3102B6}" type="presOf" srcId="{0A016187-6EB2-E84C-9164-0DEE07C78BD3}" destId="{A9379DD6-745E-9848-BCF2-F21FAC005BC8}" srcOrd="0" destOrd="0" presId="urn:microsoft.com/office/officeart/2005/8/layout/vList5"/>
    <dgm:cxn modelId="{DC049EA0-98C0-F448-A822-125ABE4DFB27}" srcId="{0A016187-6EB2-E84C-9164-0DEE07C78BD3}" destId="{52898E95-605C-284E-9614-63F232DE740D}" srcOrd="1" destOrd="0" parTransId="{EB0AB67C-0964-0643-BBFA-7BC0A7DD42BB}" sibTransId="{E0F8F78B-9837-F34A-8120-9A907F0C07C3}"/>
    <dgm:cxn modelId="{C9A35330-1675-3E4C-BCB9-D4396BAB1FB1}"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1C1A80CF-FD24-4942-98AB-22EB2D6E3F61}" type="presOf" srcId="{52898E95-605C-284E-9614-63F232DE740D}" destId="{BDA074F8-79B5-FD4D-BAE5-7D3BB635FF80}" srcOrd="0" destOrd="1" presId="urn:microsoft.com/office/officeart/2005/8/layout/vList5"/>
    <dgm:cxn modelId="{44BD4F4F-AAB1-BC48-9052-EB17E995D19E}" type="presOf" srcId="{3BB90A57-91BA-DD43-B1E5-031BE2120FE0}" destId="{EAA83B40-5A66-C14E-869B-7B3A3B5F06E4}" srcOrd="0" destOrd="0" presId="urn:microsoft.com/office/officeart/2005/8/layout/vList5"/>
    <dgm:cxn modelId="{46938D24-CE88-F843-82A6-502549294F58}" srcId="{0A016187-6EB2-E84C-9164-0DEE07C78BD3}" destId="{F1D9C26B-479D-1D41-B83B-938E65ADCAC9}" srcOrd="2" destOrd="0" parTransId="{6B85CEB3-4309-3F4D-9913-F9286D92FDD9}" sibTransId="{4F833F32-5913-4C40-A1F1-DA5EB9AD0A0F}"/>
    <dgm:cxn modelId="{462102E8-FD54-6741-9311-577BB8657E77}" type="presParOf" srcId="{EAA83B40-5A66-C14E-869B-7B3A3B5F06E4}" destId="{B0D13C56-5C01-4A45-8EE1-3CDAB7C1C8E1}" srcOrd="0" destOrd="0" presId="urn:microsoft.com/office/officeart/2005/8/layout/vList5"/>
    <dgm:cxn modelId="{DB5BA5CA-03C1-454D-BC41-B55B713DA627}" type="presParOf" srcId="{B0D13C56-5C01-4A45-8EE1-3CDAB7C1C8E1}" destId="{A9379DD6-745E-9848-BCF2-F21FAC005BC8}" srcOrd="0" destOrd="0" presId="urn:microsoft.com/office/officeart/2005/8/layout/vList5"/>
    <dgm:cxn modelId="{68FB5420-B02D-034F-84D8-F5161FFBAB4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 Examples of termination of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2B62234-B4DB-CE47-AED0-55F1AEB39B2E}" type="presOf" srcId="{F1D9C26B-479D-1D41-B83B-938E65ADCAC9}" destId="{BDA074F8-79B5-FD4D-BAE5-7D3BB635FF80}" srcOrd="0" destOrd="1" presId="urn:microsoft.com/office/officeart/2005/8/layout/vList5"/>
    <dgm:cxn modelId="{2D5A0222-4C24-EA44-9675-DFEAB53D72B0}" type="presOf" srcId="{3BB90A57-91BA-DD43-B1E5-031BE2120FE0}" destId="{EAA83B40-5A66-C14E-869B-7B3A3B5F06E4}" srcOrd="0" destOrd="0" presId="urn:microsoft.com/office/officeart/2005/8/layout/vList5"/>
    <dgm:cxn modelId="{0E6576B5-3D72-0040-8640-E102C8676D7B}" type="presOf" srcId="{E7A0CF74-1D69-3142-97CB-539F3F3C870F}" destId="{BDA074F8-79B5-FD4D-BAE5-7D3BB635FF80}"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46938D24-CE88-F843-82A6-502549294F58}" srcId="{0A016187-6EB2-E84C-9164-0DEE07C78BD3}" destId="{F1D9C26B-479D-1D41-B83B-938E65ADCAC9}" srcOrd="1" destOrd="0" parTransId="{6B85CEB3-4309-3F4D-9913-F9286D92FDD9}" sibTransId="{4F833F32-5913-4C40-A1F1-DA5EB9AD0A0F}"/>
    <dgm:cxn modelId="{C0324D0F-A7C8-9647-9F38-DF29B8685038}" type="presOf" srcId="{0A016187-6EB2-E84C-9164-0DEE07C78BD3}" destId="{A9379DD6-745E-9848-BCF2-F21FAC005BC8}" srcOrd="0" destOrd="0" presId="urn:microsoft.com/office/officeart/2005/8/layout/vList5"/>
    <dgm:cxn modelId="{708905A1-7AC1-9C4B-A669-A68E93A8BDD1}" type="presParOf" srcId="{EAA83B40-5A66-C14E-869B-7B3A3B5F06E4}" destId="{B0D13C56-5C01-4A45-8EE1-3CDAB7C1C8E1}" srcOrd="0" destOrd="0" presId="urn:microsoft.com/office/officeart/2005/8/layout/vList5"/>
    <dgm:cxn modelId="{6ED813FB-DAF3-E841-A4FF-079B869F77A6}" type="presParOf" srcId="{B0D13C56-5C01-4A45-8EE1-3CDAB7C1C8E1}" destId="{A9379DD6-745E-9848-BCF2-F21FAC005BC8}" srcOrd="0" destOrd="0" presId="urn:microsoft.com/office/officeart/2005/8/layout/vList5"/>
    <dgm:cxn modelId="{FE39CC30-82D4-D44D-84D4-71455D676C5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Background reading on concessions and sustainable tourism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4898FFEB-897F-0246-BF9F-B4816DF3C3C9}" type="presOf" srcId="{0A016187-6EB2-E84C-9164-0DEE07C78BD3}" destId="{A9379DD6-745E-9848-BCF2-F21FAC005BC8}"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F6CC7AD9-B972-6246-A0F6-50081D8AE6E7}" type="presOf" srcId="{F1D9C26B-479D-1D41-B83B-938E65ADCAC9}"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5AB60872-E362-664E-8100-17A76B067AE5}" type="presOf" srcId="{3BB90A57-91BA-DD43-B1E5-031BE2120FE0}" destId="{EAA83B40-5A66-C14E-869B-7B3A3B5F06E4}" srcOrd="0" destOrd="0" presId="urn:microsoft.com/office/officeart/2005/8/layout/vList5"/>
    <dgm:cxn modelId="{FA60D736-3501-C649-A0A2-AA40291731D9}"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4C3C317F-7A12-CB4A-BC03-19A25ED6233D}" type="presParOf" srcId="{EAA83B40-5A66-C14E-869B-7B3A3B5F06E4}" destId="{B0D13C56-5C01-4A45-8EE1-3CDAB7C1C8E1}" srcOrd="0" destOrd="0" presId="urn:microsoft.com/office/officeart/2005/8/layout/vList5"/>
    <dgm:cxn modelId="{AB41F10D-20B1-564C-951C-4359E7B70B24}" type="presParOf" srcId="{B0D13C56-5C01-4A45-8EE1-3CDAB7C1C8E1}" destId="{A9379DD6-745E-9848-BCF2-F21FAC005BC8}" srcOrd="0" destOrd="0" presId="urn:microsoft.com/office/officeart/2005/8/layout/vList5"/>
    <dgm:cxn modelId="{D06551E4-AE47-2F4D-953E-583EC8DB271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2: Design and Feasibility</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Policy and legislative framework</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Spatial planning</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Tourism product types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Concession model selection</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4DDBB6CF-6891-FF47-89B0-4AEEF4DAF105}">
      <dgm:prSet phldrT="[Text]" custT="1"/>
      <dgm:spPr/>
      <dgm:t>
        <a:bodyPr/>
        <a:lstStyle/>
        <a:p>
          <a:r>
            <a:rPr lang="en-US" sz="800"/>
            <a:t>Development impact</a:t>
          </a:r>
        </a:p>
      </dgm:t>
    </dgm:pt>
    <dgm:pt modelId="{FF65416E-E077-FA48-B5B3-C5B969F62D0C}" type="parTrans" cxnId="{42B91FB4-59D4-B649-9A84-0C3BEC1AAE77}">
      <dgm:prSet/>
      <dgm:spPr/>
      <dgm:t>
        <a:bodyPr/>
        <a:lstStyle/>
        <a:p>
          <a:endParaRPr lang="en-US"/>
        </a:p>
      </dgm:t>
    </dgm:pt>
    <dgm:pt modelId="{741E328C-659B-5D4B-84E8-BF87BAEB208A}" type="sibTrans" cxnId="{42B91FB4-59D4-B649-9A84-0C3BEC1AAE77}">
      <dgm:prSet/>
      <dgm:spPr/>
      <dgm:t>
        <a:bodyPr/>
        <a:lstStyle/>
        <a:p>
          <a:endParaRPr lang="en-US"/>
        </a:p>
      </dgm:t>
    </dgm:pt>
    <dgm:pt modelId="{E8A9BF72-5493-F449-AD88-AFE02F134145}">
      <dgm:prSet phldrT="[Text]" custT="1"/>
      <dgm:spPr/>
      <dgm:t>
        <a:bodyPr/>
        <a:lstStyle/>
        <a:p>
          <a:r>
            <a:rPr lang="en-US" sz="800"/>
            <a:t>Risk</a:t>
          </a:r>
        </a:p>
      </dgm:t>
    </dgm:pt>
    <dgm:pt modelId="{79E6C4A2-85C1-1A45-9BDD-800D0F97588C}" type="parTrans" cxnId="{E25B2A51-D4DC-9844-A695-EA3C59041647}">
      <dgm:prSet/>
      <dgm:spPr/>
      <dgm:t>
        <a:bodyPr/>
        <a:lstStyle/>
        <a:p>
          <a:endParaRPr lang="en-US"/>
        </a:p>
      </dgm:t>
    </dgm:pt>
    <dgm:pt modelId="{9259D753-28CE-E047-B2A8-18784C6CF218}" type="sibTrans" cxnId="{E25B2A51-D4DC-9844-A695-EA3C59041647}">
      <dgm:prSet/>
      <dgm:spPr/>
      <dgm:t>
        <a:bodyPr/>
        <a:lstStyle/>
        <a:p>
          <a:endParaRPr lang="en-US"/>
        </a:p>
      </dgm:t>
    </dgm:pt>
    <dgm:pt modelId="{BDE6A0E0-F157-FE4A-B26A-AA07BC98B0E8}">
      <dgm:prSet phldrT="[Text]" custT="1"/>
      <dgm:spPr/>
      <dgm:t>
        <a:bodyPr/>
        <a:lstStyle/>
        <a:p>
          <a:r>
            <a:rPr lang="en-US" sz="800"/>
            <a:t>Viability and market assessment</a:t>
          </a:r>
        </a:p>
      </dgm:t>
    </dgm:pt>
    <dgm:pt modelId="{3B7BF1B0-3B71-9C45-99A2-0D5C08ABC7E2}" type="parTrans" cxnId="{E75A4FC1-5BBD-C444-B439-11BC4178439F}">
      <dgm:prSet/>
      <dgm:spPr/>
      <dgm:t>
        <a:bodyPr/>
        <a:lstStyle/>
        <a:p>
          <a:endParaRPr lang="en-US"/>
        </a:p>
      </dgm:t>
    </dgm:pt>
    <dgm:pt modelId="{B1C6D0F2-7245-3C4C-8D7D-54877B987FDB}" type="sibTrans" cxnId="{E75A4FC1-5BBD-C444-B439-11BC4178439F}">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custScaleY="102395" custLinFactNeighborY="-1569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custScaleX="93827" custScaleY="179633">
        <dgm:presLayoutVars>
          <dgm:bulletEnabled val="1"/>
        </dgm:presLayoutVars>
      </dgm:prSet>
      <dgm:spPr/>
      <dgm:t>
        <a:bodyPr/>
        <a:lstStyle/>
        <a:p>
          <a:endParaRPr lang="en-US"/>
        </a:p>
      </dgm:t>
    </dgm:pt>
  </dgm:ptLst>
  <dgm:cxnLst>
    <dgm:cxn modelId="{D33E1596-9CDB-B242-B83E-C4A07B7EBCB7}" srcId="{6B48545D-785A-3846-AAF4-AC6200B0E3D1}" destId="{D91BEC05-A33E-F245-BBA1-2E08D98E3404}" srcOrd="1" destOrd="0" parTransId="{54B587F7-0169-AC41-AEAD-C81A6D0B9471}" sibTransId="{FC382E7E-7919-B94A-ABD2-29C2341524BE}"/>
    <dgm:cxn modelId="{A521EAC7-8D23-8948-9284-56B68D5B2023}" srcId="{6B48545D-785A-3846-AAF4-AC6200B0E3D1}" destId="{B7BE52CD-A134-B844-B6A5-7ADCD8D3262B}" srcOrd="3" destOrd="0" parTransId="{44B15B51-C2CC-264D-AC36-DAD1C9B382D6}" sibTransId="{143AD93F-44F6-2F47-8DFA-65CDAD18E655}"/>
    <dgm:cxn modelId="{E75A4FC1-5BBD-C444-B439-11BC4178439F}" srcId="{6B48545D-785A-3846-AAF4-AC6200B0E3D1}" destId="{BDE6A0E0-F157-FE4A-B26A-AA07BC98B0E8}" srcOrd="6" destOrd="0" parTransId="{3B7BF1B0-3B71-9C45-99A2-0D5C08ABC7E2}" sibTransId="{B1C6D0F2-7245-3C4C-8D7D-54877B987FDB}"/>
    <dgm:cxn modelId="{F0FE3D87-DDD1-EE43-BCCB-72479C7C84B1}" srcId="{6B48545D-785A-3846-AAF4-AC6200B0E3D1}" destId="{BA1A9D59-086C-1043-A5EC-CA39CB7604F5}" srcOrd="2" destOrd="0" parTransId="{426A25A8-5B2C-5A42-B42F-326A02A9451B}" sibTransId="{DE6C54F4-D74E-CB4B-83A9-24180251CB74}"/>
    <dgm:cxn modelId="{7B9A0633-1AED-464B-8441-E54FF02A7D7D}" srcId="{5162D6FA-58BB-4B49-B2F9-175972B12724}" destId="{6B48545D-785A-3846-AAF4-AC6200B0E3D1}" srcOrd="0" destOrd="0" parTransId="{883A58C6-01C1-254A-887F-200A58AE3599}" sibTransId="{CE07943A-908D-864E-8D84-19C9DFC6A046}"/>
    <dgm:cxn modelId="{E25B2A51-D4DC-9844-A695-EA3C59041647}" srcId="{6B48545D-785A-3846-AAF4-AC6200B0E3D1}" destId="{E8A9BF72-5493-F449-AD88-AFE02F134145}" srcOrd="5" destOrd="0" parTransId="{79E6C4A2-85C1-1A45-9BDD-800D0F97588C}" sibTransId="{9259D753-28CE-E047-B2A8-18784C6CF218}"/>
    <dgm:cxn modelId="{74495BEA-82C6-814F-888B-DD296D8ECD0F}" type="presOf" srcId="{E8A9BF72-5493-F449-AD88-AFE02F134145}" destId="{FA6E9BCF-C9F4-7240-AB6C-2402D35AD945}" srcOrd="0" destOrd="5" presId="urn:microsoft.com/office/officeart/2005/8/layout/chevron2"/>
    <dgm:cxn modelId="{EFC4AE23-9A46-5A4F-9645-8E03B29E308B}" type="presOf" srcId="{D91BEC05-A33E-F245-BBA1-2E08D98E3404}" destId="{FA6E9BCF-C9F4-7240-AB6C-2402D35AD945}" srcOrd="0" destOrd="1" presId="urn:microsoft.com/office/officeart/2005/8/layout/chevron2"/>
    <dgm:cxn modelId="{45CB051D-7264-9149-833F-3B28F17CFC8E}" type="presOf" srcId="{BDE6A0E0-F157-FE4A-B26A-AA07BC98B0E8}" destId="{FA6E9BCF-C9F4-7240-AB6C-2402D35AD945}" srcOrd="0" destOrd="6" presId="urn:microsoft.com/office/officeart/2005/8/layout/chevron2"/>
    <dgm:cxn modelId="{1E994151-B696-5947-A8F1-DA0260127AE3}" type="presOf" srcId="{B7BE52CD-A134-B844-B6A5-7ADCD8D3262B}" destId="{FA6E9BCF-C9F4-7240-AB6C-2402D35AD945}" srcOrd="0" destOrd="3" presId="urn:microsoft.com/office/officeart/2005/8/layout/chevron2"/>
    <dgm:cxn modelId="{25F71920-6348-9948-915B-D8AC9754109E}" type="presOf" srcId="{ADF70F01-E271-8D4E-8097-EC196C8B15D9}" destId="{FA6E9BCF-C9F4-7240-AB6C-2402D35AD945}" srcOrd="0" destOrd="0" presId="urn:microsoft.com/office/officeart/2005/8/layout/chevron2"/>
    <dgm:cxn modelId="{42B91FB4-59D4-B649-9A84-0C3BEC1AAE77}" srcId="{6B48545D-785A-3846-AAF4-AC6200B0E3D1}" destId="{4DDBB6CF-6891-FF47-89B0-4AEEF4DAF105}" srcOrd="4" destOrd="0" parTransId="{FF65416E-E077-FA48-B5B3-C5B969F62D0C}" sibTransId="{741E328C-659B-5D4B-84E8-BF87BAEB208A}"/>
    <dgm:cxn modelId="{C5DD7332-3E4E-2045-92A4-EAB9EF836972}" type="presOf" srcId="{4DDBB6CF-6891-FF47-89B0-4AEEF4DAF105}" destId="{FA6E9BCF-C9F4-7240-AB6C-2402D35AD945}" srcOrd="0" destOrd="4" presId="urn:microsoft.com/office/officeart/2005/8/layout/chevron2"/>
    <dgm:cxn modelId="{5EC58458-D669-D34E-B495-C9E6C3AEF194}" type="presOf" srcId="{BA1A9D59-086C-1043-A5EC-CA39CB7604F5}" destId="{FA6E9BCF-C9F4-7240-AB6C-2402D35AD945}" srcOrd="0" destOrd="2" presId="urn:microsoft.com/office/officeart/2005/8/layout/chevron2"/>
    <dgm:cxn modelId="{548D935C-110D-E640-B1B5-6EDC918AC933}" type="presOf" srcId="{5162D6FA-58BB-4B49-B2F9-175972B12724}" destId="{428F09B0-3390-284C-832D-CAE99C094465}" srcOrd="0" destOrd="0" presId="urn:microsoft.com/office/officeart/2005/8/layout/chevron2"/>
    <dgm:cxn modelId="{8D81C2B1-C1E2-F84A-8F92-A566960B101F}" type="presOf" srcId="{6B48545D-785A-3846-AAF4-AC6200B0E3D1}" destId="{E9570D06-6D70-C34E-A29B-436B69AC095B}" srcOrd="0" destOrd="0" presId="urn:microsoft.com/office/officeart/2005/8/layout/chevron2"/>
    <dgm:cxn modelId="{18E539F8-80F0-A243-8671-24024EFCC637}" srcId="{6B48545D-785A-3846-AAF4-AC6200B0E3D1}" destId="{ADF70F01-E271-8D4E-8097-EC196C8B15D9}" srcOrd="0" destOrd="0" parTransId="{CDA03D56-40C0-6F43-A5C2-73C5B9F10B0C}" sibTransId="{673D64B7-3BFF-FE4A-B1AE-CE231B86ED37}"/>
    <dgm:cxn modelId="{29E36290-BE2D-5B45-B98F-52A7795176D6}" type="presParOf" srcId="{428F09B0-3390-284C-832D-CAE99C094465}" destId="{CA026B3D-6835-3A42-A6D0-465C10E8242F}" srcOrd="0" destOrd="0" presId="urn:microsoft.com/office/officeart/2005/8/layout/chevron2"/>
    <dgm:cxn modelId="{7F5D5269-F877-544F-8BBE-ADB7CDB43CC3}" type="presParOf" srcId="{CA026B3D-6835-3A42-A6D0-465C10E8242F}" destId="{E9570D06-6D70-C34E-A29B-436B69AC095B}" srcOrd="0" destOrd="0" presId="urn:microsoft.com/office/officeart/2005/8/layout/chevron2"/>
    <dgm:cxn modelId="{625CAAF0-2FAC-FC49-966B-F243E9AD8181}"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Legal context for SADC countries,(Annex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064E40E5-53B2-4040-879A-9730144F421D}">
      <dgm:prSet phldrT="[Text]"/>
      <dgm:spPr/>
      <dgm:t>
        <a:bodyPr/>
        <a:lstStyle/>
        <a:p>
          <a:r>
            <a:rPr lang="en-US"/>
            <a:t>ToRs for legal advisors at national and destination level (Annex X)</a:t>
          </a:r>
        </a:p>
      </dgm:t>
    </dgm:pt>
    <dgm:pt modelId="{28A56EEC-8EB6-874E-A63E-A1B469166407}" type="parTrans" cxnId="{CEFB4FEA-F227-2345-9F4C-3748546A770D}">
      <dgm:prSet/>
      <dgm:spPr/>
    </dgm:pt>
    <dgm:pt modelId="{823FA1C4-DA26-0A47-96C6-55D165419246}" type="sibTrans" cxnId="{CEFB4FEA-F227-2345-9F4C-3748546A770D}">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1795"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87355FE2-22C4-7043-9AA4-61C42BB42AA9}" type="presOf" srcId="{0A016187-6EB2-E84C-9164-0DEE07C78BD3}" destId="{A9379DD6-745E-9848-BCF2-F21FAC005BC8}" srcOrd="0" destOrd="0" presId="urn:microsoft.com/office/officeart/2005/8/layout/vList5"/>
    <dgm:cxn modelId="{9E4F23F3-8736-0540-9017-F68155D6547B}" type="presOf" srcId="{064E40E5-53B2-4040-879A-9730144F421D}" destId="{BDA074F8-79B5-FD4D-BAE5-7D3BB635FF80}" srcOrd="0" destOrd="1" presId="urn:microsoft.com/office/officeart/2005/8/layout/vList5"/>
    <dgm:cxn modelId="{5AD6F69D-216B-604D-9C1F-25B22D8FD093}"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CF119E2B-5954-114C-B222-C205BBCFAEAE}" type="presOf" srcId="{3BB90A57-91BA-DD43-B1E5-031BE2120FE0}" destId="{EAA83B40-5A66-C14E-869B-7B3A3B5F06E4}" srcOrd="0" destOrd="0" presId="urn:microsoft.com/office/officeart/2005/8/layout/vList5"/>
    <dgm:cxn modelId="{98BB25D0-034C-DA4B-AA05-244D0ED977E7}" type="presOf" srcId="{E7A0CF74-1D69-3142-97CB-539F3F3C870F}" destId="{BDA074F8-79B5-FD4D-BAE5-7D3BB635FF80}" srcOrd="0" destOrd="0" presId="urn:microsoft.com/office/officeart/2005/8/layout/vList5"/>
    <dgm:cxn modelId="{CEFB4FEA-F227-2345-9F4C-3748546A770D}" srcId="{0A016187-6EB2-E84C-9164-0DEE07C78BD3}" destId="{064E40E5-53B2-4040-879A-9730144F421D}" srcOrd="1" destOrd="0" parTransId="{28A56EEC-8EB6-874E-A63E-A1B469166407}" sibTransId="{823FA1C4-DA26-0A47-96C6-55D165419246}"/>
    <dgm:cxn modelId="{46938D24-CE88-F843-82A6-502549294F58}" srcId="{0A016187-6EB2-E84C-9164-0DEE07C78BD3}" destId="{F1D9C26B-479D-1D41-B83B-938E65ADCAC9}" srcOrd="2" destOrd="0" parTransId="{6B85CEB3-4309-3F4D-9913-F9286D92FDD9}" sibTransId="{4F833F32-5913-4C40-A1F1-DA5EB9AD0A0F}"/>
    <dgm:cxn modelId="{B6928622-E633-864F-AB5D-5BF61528F40D}" type="presParOf" srcId="{EAA83B40-5A66-C14E-869B-7B3A3B5F06E4}" destId="{B0D13C56-5C01-4A45-8EE1-3CDAB7C1C8E1}" srcOrd="0" destOrd="0" presId="urn:microsoft.com/office/officeart/2005/8/layout/vList5"/>
    <dgm:cxn modelId="{4EA16F7C-6D1B-2943-A93E-7E80926EEA6A}" type="presParOf" srcId="{B0D13C56-5C01-4A45-8EE1-3CDAB7C1C8E1}" destId="{A9379DD6-745E-9848-BCF2-F21FAC005BC8}" srcOrd="0" destOrd="0" presId="urn:microsoft.com/office/officeart/2005/8/layout/vList5"/>
    <dgm:cxn modelId="{AF700772-2F2B-E645-90EF-2B688C78F671}"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Protected area and TFCA tourism plans for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AECCCA83-8645-2246-ACEF-1689272C6028}" type="presOf" srcId="{3BB90A57-91BA-DD43-B1E5-031BE2120FE0}" destId="{EAA83B40-5A66-C14E-869B-7B3A3B5F06E4}" srcOrd="0" destOrd="0" presId="urn:microsoft.com/office/officeart/2005/8/layout/vList5"/>
    <dgm:cxn modelId="{58D549AA-76D0-0344-92E4-173E002FF429}" type="presOf" srcId="{E7A0CF74-1D69-3142-97CB-539F3F3C870F}" destId="{BDA074F8-79B5-FD4D-BAE5-7D3BB635FF80}" srcOrd="0" destOrd="0" presId="urn:microsoft.com/office/officeart/2005/8/layout/vList5"/>
    <dgm:cxn modelId="{25E304B7-5546-454B-B919-8027FF9E465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CA9A494E-EAE5-B643-BAEA-726C9E7B7130}" type="presOf" srcId="{F1D9C26B-479D-1D41-B83B-938E65ADCAC9}" destId="{BDA074F8-79B5-FD4D-BAE5-7D3BB635FF80}" srcOrd="0" destOrd="1" presId="urn:microsoft.com/office/officeart/2005/8/layout/vList5"/>
    <dgm:cxn modelId="{431412A0-5D1B-E94B-8F63-79D08CFE7153}" type="presParOf" srcId="{EAA83B40-5A66-C14E-869B-7B3A3B5F06E4}" destId="{B0D13C56-5C01-4A45-8EE1-3CDAB7C1C8E1}" srcOrd="0" destOrd="0" presId="urn:microsoft.com/office/officeart/2005/8/layout/vList5"/>
    <dgm:cxn modelId="{2EE791DF-9B25-DB48-9B55-0B1E6737FDDB}" type="presParOf" srcId="{B0D13C56-5C01-4A45-8EE1-3CDAB7C1C8E1}" destId="{A9379DD6-745E-9848-BCF2-F21FAC005BC8}" srcOrd="0" destOrd="0" presId="urn:microsoft.com/office/officeart/2005/8/layout/vList5"/>
    <dgm:cxn modelId="{D2A9D2D2-A4B0-5845-8A95-13353916A453}"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on Desert Knights and Tour de Tuli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D2BF8736-56FF-5143-8677-F28187C0A8EF}" type="presOf" srcId="{3BB90A57-91BA-DD43-B1E5-031BE2120FE0}" destId="{EAA83B40-5A66-C14E-869B-7B3A3B5F06E4}" srcOrd="0" destOrd="0" presId="urn:microsoft.com/office/officeart/2005/8/layout/vList5"/>
    <dgm:cxn modelId="{95312D04-A40F-6341-8777-73596C11590E}"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1E8D5441-90FE-F04C-A540-68F414D6A909}" type="presOf" srcId="{F1D9C26B-479D-1D41-B83B-938E65ADCAC9}" destId="{BDA074F8-79B5-FD4D-BAE5-7D3BB635FF80}" srcOrd="0" destOrd="1" presId="urn:microsoft.com/office/officeart/2005/8/layout/vList5"/>
    <dgm:cxn modelId="{939CEAE4-BADD-DF43-A3BB-78CCF7093A61}" type="presOf" srcId="{0A016187-6EB2-E84C-9164-0DEE07C78BD3}" destId="{A9379DD6-745E-9848-BCF2-F21FAC005BC8}" srcOrd="0" destOrd="0" presId="urn:microsoft.com/office/officeart/2005/8/layout/vList5"/>
    <dgm:cxn modelId="{C248E560-413E-CF4A-91FD-6009BCDFAE85}" type="presParOf" srcId="{EAA83B40-5A66-C14E-869B-7B3A3B5F06E4}" destId="{B0D13C56-5C01-4A45-8EE1-3CDAB7C1C8E1}" srcOrd="0" destOrd="0" presId="urn:microsoft.com/office/officeart/2005/8/layout/vList5"/>
    <dgm:cxn modelId="{A5927392-4A46-B444-9A25-9E03EBE29A36}" type="presParOf" srcId="{B0D13C56-5C01-4A45-8EE1-3CDAB7C1C8E1}" destId="{A9379DD6-745E-9848-BCF2-F21FAC005BC8}" srcOrd="0" destOrd="0" presId="urn:microsoft.com/office/officeart/2005/8/layout/vList5"/>
    <dgm:cxn modelId="{F16F3194-C49A-7144-A7C2-734865E93EB5}"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World Bank concession guidelines and toolkit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67E1F9AC-DE59-CF4D-8F00-ACD16199E593}"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B8712E53-420D-EB4F-8664-92F36CE61146}" type="presOf" srcId="{F1D9C26B-479D-1D41-B83B-938E65ADCAC9}" destId="{BDA074F8-79B5-FD4D-BAE5-7D3BB635FF80}" srcOrd="0" destOrd="1" presId="urn:microsoft.com/office/officeart/2005/8/layout/vList5"/>
    <dgm:cxn modelId="{951AEA4F-6E8B-3246-A13E-B62CDB43D2D7}"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C5910056-643E-AB43-AB8C-EB203E44CEB7}" type="presOf" srcId="{3BB90A57-91BA-DD43-B1E5-031BE2120FE0}" destId="{EAA83B40-5A66-C14E-869B-7B3A3B5F06E4}"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812BF6FC-9E41-5646-A5D0-A038BA886A3B}" type="presParOf" srcId="{EAA83B40-5A66-C14E-869B-7B3A3B5F06E4}" destId="{B0D13C56-5C01-4A45-8EE1-3CDAB7C1C8E1}" srcOrd="0" destOrd="0" presId="urn:microsoft.com/office/officeart/2005/8/layout/vList5"/>
    <dgm:cxn modelId="{974D8F15-78F0-F743-A3FA-0F5068A94385}" type="presParOf" srcId="{B0D13C56-5C01-4A45-8EE1-3CDAB7C1C8E1}" destId="{A9379DD6-745E-9848-BCF2-F21FAC005BC8}" srcOrd="0" destOrd="0" presId="urn:microsoft.com/office/officeart/2005/8/layout/vList5"/>
    <dgm:cxn modelId="{2CE99A9B-818F-344C-B6CB-68D32E63D5C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for Maputo Special Reserve and Chemucane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2AE4AC66-E161-3E47-A1CE-5B5436BAA62D}">
      <dgm:prSet phldrT="[Text]"/>
      <dgm:spPr/>
      <dgm:t>
        <a:bodyPr/>
        <a:lstStyle/>
        <a:p>
          <a:r>
            <a:rPr lang="en-US"/>
            <a:t>Links to guidance on improving development impacts of tourism, including joint ventures and value chain links (Annex X)</a:t>
          </a:r>
        </a:p>
      </dgm:t>
    </dgm:pt>
    <dgm:pt modelId="{4ABA0785-FE0B-FC4F-A681-C69BD1DB183B}" type="parTrans" cxnId="{1E6199D2-1C13-BC4D-9BEB-48BF1C3F5F5E}">
      <dgm:prSet/>
      <dgm:spPr/>
      <dgm:t>
        <a:bodyPr/>
        <a:lstStyle/>
        <a:p>
          <a:endParaRPr lang="en-US"/>
        </a:p>
      </dgm:t>
    </dgm:pt>
    <dgm:pt modelId="{FD893C4D-0DF2-184B-91DA-DE4EF535DFCB}" type="sibTrans" cxnId="{1E6199D2-1C13-BC4D-9BEB-48BF1C3F5F5E}">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1E6199D2-1C13-BC4D-9BEB-48BF1C3F5F5E}" srcId="{0A016187-6EB2-E84C-9164-0DEE07C78BD3}" destId="{2AE4AC66-E161-3E47-A1CE-5B5436BAA62D}" srcOrd="1" destOrd="0" parTransId="{4ABA0785-FE0B-FC4F-A681-C69BD1DB183B}" sibTransId="{FD893C4D-0DF2-184B-91DA-DE4EF535DFCB}"/>
    <dgm:cxn modelId="{479E7E51-8000-0C49-822E-7F491018FE24}" type="presOf" srcId="{3BB90A57-91BA-DD43-B1E5-031BE2120FE0}" destId="{EAA83B40-5A66-C14E-869B-7B3A3B5F06E4}" srcOrd="0" destOrd="0" presId="urn:microsoft.com/office/officeart/2005/8/layout/vList5"/>
    <dgm:cxn modelId="{FA29F3F5-B697-6F4C-A313-BF3CD25E658B}"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1DA37B63-DE39-D94D-9EB4-77C48470B008}" type="presOf" srcId="{2AE4AC66-E161-3E47-A1CE-5B5436BAA62D}" destId="{BDA074F8-79B5-FD4D-BAE5-7D3BB635FF80}" srcOrd="0" destOrd="1" presId="urn:microsoft.com/office/officeart/2005/8/layout/vList5"/>
    <dgm:cxn modelId="{C056C182-EC8E-AC40-8271-B82B46FEE90B}" type="presOf" srcId="{E7A0CF74-1D69-3142-97CB-539F3F3C870F}" destId="{BDA074F8-79B5-FD4D-BAE5-7D3BB635FF80}" srcOrd="0" destOrd="0" presId="urn:microsoft.com/office/officeart/2005/8/layout/vList5"/>
    <dgm:cxn modelId="{910234CD-8471-B14D-96DE-4B76E56B821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2" destOrd="0" parTransId="{6B85CEB3-4309-3F4D-9913-F9286D92FDD9}" sibTransId="{4F833F32-5913-4C40-A1F1-DA5EB9AD0A0F}"/>
    <dgm:cxn modelId="{E69F755C-812E-EE40-8765-9FFE81756178}" type="presParOf" srcId="{EAA83B40-5A66-C14E-869B-7B3A3B5F06E4}" destId="{B0D13C56-5C01-4A45-8EE1-3CDAB7C1C8E1}" srcOrd="0" destOrd="0" presId="urn:microsoft.com/office/officeart/2005/8/layout/vList5"/>
    <dgm:cxn modelId="{87B2871C-5863-C549-AD4E-8D9361D565B6}" type="presParOf" srcId="{B0D13C56-5C01-4A45-8EE1-3CDAB7C1C8E1}" destId="{A9379DD6-745E-9848-BCF2-F21FAC005BC8}" srcOrd="0" destOrd="0" presId="urn:microsoft.com/office/officeart/2005/8/layout/vList5"/>
    <dgm:cxn modelId="{55113818-EFD9-F84C-9D8A-D58B05EDF044}"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7052" y="185721"/>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1: Scoping</a:t>
          </a:r>
        </a:p>
      </dsp:txBody>
      <dsp:txXfrm rot="-5400000">
        <a:off x="2" y="368458"/>
        <a:ext cx="639579" cy="274106"/>
      </dsp:txXfrm>
    </dsp:sp>
    <dsp:sp modelId="{FA6E9BCF-C9F4-7240-AB6C-2402D35AD945}">
      <dsp:nvSpPr>
        <dsp:cNvPr id="0" name=""/>
        <dsp:cNvSpPr/>
      </dsp:nvSpPr>
      <dsp:spPr>
        <a:xfrm rot="5400000">
          <a:off x="1394442" y="-706193"/>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Goals, motivations and objectives</a:t>
          </a:r>
        </a:p>
        <a:p>
          <a:pPr marL="57150" lvl="1" indent="-57150" algn="l" defTabSz="355600">
            <a:lnSpc>
              <a:spcPct val="90000"/>
            </a:lnSpc>
            <a:spcBef>
              <a:spcPct val="0"/>
            </a:spcBef>
            <a:spcAft>
              <a:spcPct val="15000"/>
            </a:spcAft>
            <a:buChar char="••"/>
          </a:pPr>
          <a:r>
            <a:rPr lang="en-US" sz="800" kern="1200"/>
            <a:t>Concessions experience</a:t>
          </a:r>
        </a:p>
        <a:p>
          <a:pPr marL="57150" lvl="1" indent="-57150" algn="l" defTabSz="355600">
            <a:lnSpc>
              <a:spcPct val="90000"/>
            </a:lnSpc>
            <a:spcBef>
              <a:spcPct val="0"/>
            </a:spcBef>
            <a:spcAft>
              <a:spcPct val="15000"/>
            </a:spcAft>
            <a:buChar char="••"/>
          </a:pPr>
          <a:r>
            <a:rPr lang="en-US" sz="800" kern="1200"/>
            <a:t>Potential barriers</a:t>
          </a:r>
        </a:p>
        <a:p>
          <a:pPr marL="57150" lvl="1" indent="-57150" algn="l" defTabSz="355600">
            <a:lnSpc>
              <a:spcPct val="90000"/>
            </a:lnSpc>
            <a:spcBef>
              <a:spcPct val="0"/>
            </a:spcBef>
            <a:spcAft>
              <a:spcPct val="15000"/>
            </a:spcAft>
            <a:buChar char="••"/>
          </a:pPr>
          <a:r>
            <a:rPr lang="en-US" sz="800" kern="1200"/>
            <a:t>Whether to proceed or not</a:t>
          </a:r>
        </a:p>
      </dsp:txBody>
      <dsp:txXfrm rot="-5400000">
        <a:off x="639580" y="77661"/>
        <a:ext cx="2074628" cy="535911"/>
      </dsp:txXfrm>
    </dsp:sp>
    <dsp:sp modelId="{73A63B60-0437-AB41-8887-010B2F5C7552}">
      <dsp:nvSpPr>
        <dsp:cNvPr id="0" name=""/>
        <dsp:cNvSpPr/>
      </dsp:nvSpPr>
      <dsp:spPr>
        <a:xfrm rot="5400000">
          <a:off x="-137052" y="972366"/>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2: Design and Feasibility</a:t>
          </a:r>
        </a:p>
      </dsp:txBody>
      <dsp:txXfrm rot="-5400000">
        <a:off x="2" y="1155103"/>
        <a:ext cx="639579" cy="274106"/>
      </dsp:txXfrm>
    </dsp:sp>
    <dsp:sp modelId="{3B2BD76E-BB1F-7947-A580-E88B24E0BC29}">
      <dsp:nvSpPr>
        <dsp:cNvPr id="0" name=""/>
        <dsp:cNvSpPr/>
      </dsp:nvSpPr>
      <dsp:spPr>
        <a:xfrm rot="5400000">
          <a:off x="1240816" y="118105"/>
          <a:ext cx="901147"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Policy and legislative framework</a:t>
          </a:r>
        </a:p>
        <a:p>
          <a:pPr marL="57150" lvl="1" indent="-57150" algn="l" defTabSz="355600">
            <a:lnSpc>
              <a:spcPct val="90000"/>
            </a:lnSpc>
            <a:spcBef>
              <a:spcPct val="0"/>
            </a:spcBef>
            <a:spcAft>
              <a:spcPct val="15000"/>
            </a:spcAft>
            <a:buChar char="••"/>
          </a:pPr>
          <a:r>
            <a:rPr lang="en-US" sz="800" kern="1200"/>
            <a:t>Spatial planning</a:t>
          </a:r>
        </a:p>
        <a:p>
          <a:pPr marL="57150" lvl="1" indent="-57150" algn="l" defTabSz="355600">
            <a:lnSpc>
              <a:spcPct val="90000"/>
            </a:lnSpc>
            <a:spcBef>
              <a:spcPct val="0"/>
            </a:spcBef>
            <a:spcAft>
              <a:spcPct val="15000"/>
            </a:spcAft>
            <a:buChar char="••"/>
          </a:pPr>
          <a:r>
            <a:rPr lang="en-US" sz="800" kern="1200"/>
            <a:t>Tourism product types</a:t>
          </a:r>
        </a:p>
        <a:p>
          <a:pPr marL="57150" lvl="1" indent="-57150" algn="l" defTabSz="355600">
            <a:lnSpc>
              <a:spcPct val="90000"/>
            </a:lnSpc>
            <a:spcBef>
              <a:spcPct val="0"/>
            </a:spcBef>
            <a:spcAft>
              <a:spcPct val="15000"/>
            </a:spcAft>
            <a:buChar char="••"/>
          </a:pPr>
          <a:r>
            <a:rPr lang="en-US" sz="800" kern="1200"/>
            <a:t>Concession model selection</a:t>
          </a:r>
        </a:p>
        <a:p>
          <a:pPr marL="57150" lvl="1" indent="-57150" algn="l" defTabSz="355600">
            <a:lnSpc>
              <a:spcPct val="90000"/>
            </a:lnSpc>
            <a:spcBef>
              <a:spcPct val="0"/>
            </a:spcBef>
            <a:spcAft>
              <a:spcPct val="15000"/>
            </a:spcAft>
            <a:buChar char="••"/>
          </a:pPr>
          <a:r>
            <a:rPr lang="en-US" sz="800" kern="1200"/>
            <a:t>Development impact</a:t>
          </a:r>
        </a:p>
        <a:p>
          <a:pPr marL="57150" lvl="1" indent="-57150" algn="l" defTabSz="355600">
            <a:lnSpc>
              <a:spcPct val="90000"/>
            </a:lnSpc>
            <a:spcBef>
              <a:spcPct val="0"/>
            </a:spcBef>
            <a:spcAft>
              <a:spcPct val="15000"/>
            </a:spcAft>
            <a:buChar char="••"/>
          </a:pPr>
          <a:r>
            <a:rPr lang="en-US" sz="800" kern="1200"/>
            <a:t>Risk</a:t>
          </a:r>
        </a:p>
        <a:p>
          <a:pPr marL="57150" lvl="1" indent="-57150" algn="l" defTabSz="355600">
            <a:lnSpc>
              <a:spcPct val="90000"/>
            </a:lnSpc>
            <a:spcBef>
              <a:spcPct val="0"/>
            </a:spcBef>
            <a:spcAft>
              <a:spcPct val="15000"/>
            </a:spcAft>
            <a:buChar char="••"/>
          </a:pPr>
          <a:r>
            <a:rPr lang="en-US" sz="800" kern="1200"/>
            <a:t>Viability and market assessment</a:t>
          </a:r>
        </a:p>
      </dsp:txBody>
      <dsp:txXfrm rot="-5400000">
        <a:off x="639580" y="763331"/>
        <a:ext cx="2059630" cy="813167"/>
      </dsp:txXfrm>
    </dsp:sp>
    <dsp:sp modelId="{8C02DC8D-A5EF-EB4D-8A82-3F69209E861D}">
      <dsp:nvSpPr>
        <dsp:cNvPr id="0" name=""/>
        <dsp:cNvSpPr/>
      </dsp:nvSpPr>
      <dsp:spPr>
        <a:xfrm rot="5400000">
          <a:off x="-137052" y="1869350"/>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3: Procurement strategy</a:t>
          </a:r>
        </a:p>
      </dsp:txBody>
      <dsp:txXfrm rot="-5400000">
        <a:off x="2" y="2052087"/>
        <a:ext cx="639579" cy="274106"/>
      </dsp:txXfrm>
    </dsp:sp>
    <dsp:sp modelId="{56527179-1005-3444-9568-3F1643A1ADF9}">
      <dsp:nvSpPr>
        <dsp:cNvPr id="0" name=""/>
        <dsp:cNvSpPr/>
      </dsp:nvSpPr>
      <dsp:spPr>
        <a:xfrm rot="5400000">
          <a:off x="1394442" y="977435"/>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Investment strategy</a:t>
          </a:r>
        </a:p>
        <a:p>
          <a:pPr marL="57150" lvl="1" indent="-57150" algn="l" defTabSz="355600">
            <a:lnSpc>
              <a:spcPct val="90000"/>
            </a:lnSpc>
            <a:spcBef>
              <a:spcPct val="0"/>
            </a:spcBef>
            <a:spcAft>
              <a:spcPct val="15000"/>
            </a:spcAft>
            <a:buChar char="••"/>
          </a:pPr>
          <a:r>
            <a:rPr lang="en-US" sz="800" kern="1200"/>
            <a:t>Transaction strategy</a:t>
          </a:r>
        </a:p>
        <a:p>
          <a:pPr marL="57150" lvl="1" indent="-57150" algn="l" defTabSz="355600">
            <a:lnSpc>
              <a:spcPct val="90000"/>
            </a:lnSpc>
            <a:spcBef>
              <a:spcPct val="0"/>
            </a:spcBef>
            <a:spcAft>
              <a:spcPct val="15000"/>
            </a:spcAft>
            <a:buChar char="••"/>
          </a:pPr>
          <a:r>
            <a:rPr lang="en-US" sz="800" kern="1200"/>
            <a:t>Development of transaction materials</a:t>
          </a:r>
        </a:p>
        <a:p>
          <a:pPr marL="57150" lvl="1" indent="-57150" algn="l" defTabSz="355600">
            <a:lnSpc>
              <a:spcPct val="90000"/>
            </a:lnSpc>
            <a:spcBef>
              <a:spcPct val="0"/>
            </a:spcBef>
            <a:spcAft>
              <a:spcPct val="15000"/>
            </a:spcAft>
            <a:buChar char="••"/>
          </a:pPr>
          <a:r>
            <a:rPr lang="en-US" sz="800" kern="1200"/>
            <a:t>Evaluation committee development</a:t>
          </a:r>
        </a:p>
      </dsp:txBody>
      <dsp:txXfrm rot="-5400000">
        <a:off x="639580" y="1761289"/>
        <a:ext cx="2074628" cy="535911"/>
      </dsp:txXfrm>
    </dsp:sp>
    <dsp:sp modelId="{833FF24C-E71E-E04F-91F1-1C6859871847}">
      <dsp:nvSpPr>
        <dsp:cNvPr id="0" name=""/>
        <dsp:cNvSpPr/>
      </dsp:nvSpPr>
      <dsp:spPr>
        <a:xfrm rot="5400000">
          <a:off x="-137052" y="2634352"/>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4: Transaction management</a:t>
          </a:r>
        </a:p>
      </dsp:txBody>
      <dsp:txXfrm rot="-5400000">
        <a:off x="2" y="2817089"/>
        <a:ext cx="639579" cy="274106"/>
      </dsp:txXfrm>
    </dsp:sp>
    <dsp:sp modelId="{42856FA0-2189-E341-89C0-BB9DC4A1F4D8}">
      <dsp:nvSpPr>
        <dsp:cNvPr id="0" name=""/>
        <dsp:cNvSpPr/>
      </dsp:nvSpPr>
      <dsp:spPr>
        <a:xfrm rot="5400000">
          <a:off x="1394442" y="1742437"/>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Procurement process</a:t>
          </a:r>
        </a:p>
        <a:p>
          <a:pPr marL="57150" lvl="1" indent="-57150" algn="l" defTabSz="355600">
            <a:lnSpc>
              <a:spcPct val="90000"/>
            </a:lnSpc>
            <a:spcBef>
              <a:spcPct val="0"/>
            </a:spcBef>
            <a:spcAft>
              <a:spcPct val="15000"/>
            </a:spcAft>
            <a:buChar char="••"/>
          </a:pPr>
          <a:r>
            <a:rPr lang="en-US" sz="800" kern="1200"/>
            <a:t>Win-win deals and things to avoid</a:t>
          </a:r>
        </a:p>
      </dsp:txBody>
      <dsp:txXfrm rot="-5400000">
        <a:off x="639580" y="2526291"/>
        <a:ext cx="2074628" cy="535911"/>
      </dsp:txXfrm>
    </dsp:sp>
    <dsp:sp modelId="{76B2B06B-0BC3-1E4E-812B-B8AC973742F5}">
      <dsp:nvSpPr>
        <dsp:cNvPr id="0" name=""/>
        <dsp:cNvSpPr/>
      </dsp:nvSpPr>
      <dsp:spPr>
        <a:xfrm rot="5400000">
          <a:off x="-137052" y="3399354"/>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5: Contract management</a:t>
          </a:r>
        </a:p>
      </dsp:txBody>
      <dsp:txXfrm rot="-5400000">
        <a:off x="2" y="3582091"/>
        <a:ext cx="639579" cy="274106"/>
      </dsp:txXfrm>
    </dsp:sp>
    <dsp:sp modelId="{7823496A-F112-A54E-B9AB-C45FE44E4C35}">
      <dsp:nvSpPr>
        <dsp:cNvPr id="0" name=""/>
        <dsp:cNvSpPr/>
      </dsp:nvSpPr>
      <dsp:spPr>
        <a:xfrm rot="5400000">
          <a:off x="1394442" y="2507438"/>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Capacity and skills</a:t>
          </a:r>
        </a:p>
        <a:p>
          <a:pPr marL="57150" lvl="1" indent="-57150" algn="l" defTabSz="355600">
            <a:lnSpc>
              <a:spcPct val="90000"/>
            </a:lnSpc>
            <a:spcBef>
              <a:spcPct val="0"/>
            </a:spcBef>
            <a:spcAft>
              <a:spcPct val="15000"/>
            </a:spcAft>
            <a:buChar char="••"/>
          </a:pPr>
          <a:r>
            <a:rPr lang="en-US" sz="800" kern="1200"/>
            <a:t>Manuals</a:t>
          </a:r>
        </a:p>
        <a:p>
          <a:pPr marL="57150" lvl="1" indent="-57150" algn="l" defTabSz="355600">
            <a:lnSpc>
              <a:spcPct val="90000"/>
            </a:lnSpc>
            <a:spcBef>
              <a:spcPct val="0"/>
            </a:spcBef>
            <a:spcAft>
              <a:spcPct val="15000"/>
            </a:spcAft>
            <a:buChar char="••"/>
          </a:pPr>
          <a:r>
            <a:rPr lang="en-US" sz="800" kern="1200"/>
            <a:t>End of concession and next steps</a:t>
          </a:r>
        </a:p>
      </dsp:txBody>
      <dsp:txXfrm rot="-5400000">
        <a:off x="639580" y="3291292"/>
        <a:ext cx="2074628" cy="5359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61389" y="-499110"/>
          <a:ext cx="4445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Risk assessment guidelines Annex X)</a:t>
          </a:r>
        </a:p>
        <a:p>
          <a:pPr marL="57150" lvl="1" indent="-57150" algn="l" defTabSz="355600">
            <a:lnSpc>
              <a:spcPct val="90000"/>
            </a:lnSpc>
            <a:spcBef>
              <a:spcPct val="0"/>
            </a:spcBef>
            <a:spcAft>
              <a:spcPct val="15000"/>
            </a:spcAft>
            <a:buChar char="••"/>
          </a:pPr>
          <a:endParaRPr lang="en-US" sz="800" kern="1200"/>
        </a:p>
      </dsp:txBody>
      <dsp:txXfrm rot="-5400000">
        <a:off x="462280" y="21698"/>
        <a:ext cx="1421021" cy="401102"/>
      </dsp:txXfrm>
    </dsp:sp>
    <dsp:sp modelId="{A9379DD6-745E-9848-BCF2-F21FAC005BC8}">
      <dsp:nvSpPr>
        <dsp:cNvPr id="0" name=""/>
        <dsp:cNvSpPr/>
      </dsp:nvSpPr>
      <dsp:spPr>
        <a:xfrm>
          <a:off x="0" y="0"/>
          <a:ext cx="445773" cy="4445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699" y="21699"/>
        <a:ext cx="402375" cy="40110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2704" y="-391160"/>
          <a:ext cx="541871"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Guidance on stakeholder engagement (Annex X)</a:t>
          </a:r>
        </a:p>
        <a:p>
          <a:pPr marL="57150" lvl="1" indent="-57150" algn="l" defTabSz="400050">
            <a:lnSpc>
              <a:spcPct val="90000"/>
            </a:lnSpc>
            <a:spcBef>
              <a:spcPct val="0"/>
            </a:spcBef>
            <a:spcAft>
              <a:spcPct val="15000"/>
            </a:spcAft>
            <a:buChar char="••"/>
          </a:pPr>
          <a:endParaRPr lang="en-US" sz="900" kern="1200"/>
        </a:p>
      </dsp:txBody>
      <dsp:txXfrm rot="-5400000">
        <a:off x="462280" y="85716"/>
        <a:ext cx="1416268" cy="488967"/>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53439" y="-391160"/>
          <a:ext cx="6604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1430" rIns="22860" bIns="11430" numCol="1" spcCol="1270" anchor="ctr" anchorCtr="0">
          <a:noAutofit/>
        </a:bodyPr>
        <a:lstStyle/>
        <a:p>
          <a:pPr marL="57150" lvl="1" indent="-57150" algn="l" defTabSz="266700">
            <a:lnSpc>
              <a:spcPct val="90000"/>
            </a:lnSpc>
            <a:spcBef>
              <a:spcPct val="0"/>
            </a:spcBef>
            <a:spcAft>
              <a:spcPct val="15000"/>
            </a:spcAft>
            <a:buChar char="••"/>
          </a:pPr>
          <a:r>
            <a:rPr lang="en-US" sz="600" kern="1200"/>
            <a:t>Case studies on South Africa and Namibia's concessioning, and the Tour de Tuli and Desert Knights (Annex X)</a:t>
          </a:r>
        </a:p>
        <a:p>
          <a:pPr marL="57150" lvl="1" indent="-57150" algn="l" defTabSz="266700">
            <a:lnSpc>
              <a:spcPct val="90000"/>
            </a:lnSpc>
            <a:spcBef>
              <a:spcPct val="0"/>
            </a:spcBef>
            <a:spcAft>
              <a:spcPct val="15000"/>
            </a:spcAft>
            <a:buChar char="••"/>
          </a:pPr>
          <a:r>
            <a:rPr lang="en-US" sz="600" kern="1200"/>
            <a:t>Where to source nformation on supply and demand (Annex X)</a:t>
          </a:r>
        </a:p>
        <a:p>
          <a:pPr marL="57150" lvl="1" indent="-57150" algn="l" defTabSz="266700">
            <a:lnSpc>
              <a:spcPct val="90000"/>
            </a:lnSpc>
            <a:spcBef>
              <a:spcPct val="0"/>
            </a:spcBef>
            <a:spcAft>
              <a:spcPct val="15000"/>
            </a:spcAft>
            <a:buChar char="••"/>
          </a:pPr>
          <a:endParaRPr lang="en-US" sz="600" kern="1200"/>
        </a:p>
      </dsp:txBody>
      <dsp:txXfrm rot="-5400000">
        <a:off x="462279" y="32238"/>
        <a:ext cx="1410482" cy="595924"/>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3: Procurment strategy</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Investment strategy</a:t>
          </a:r>
        </a:p>
        <a:p>
          <a:pPr marL="57150" lvl="1" indent="-57150" algn="l" defTabSz="355600">
            <a:lnSpc>
              <a:spcPct val="90000"/>
            </a:lnSpc>
            <a:spcBef>
              <a:spcPct val="0"/>
            </a:spcBef>
            <a:spcAft>
              <a:spcPct val="15000"/>
            </a:spcAft>
            <a:buChar char="••"/>
          </a:pPr>
          <a:r>
            <a:rPr lang="en-US" sz="800" kern="1200"/>
            <a:t>Transaction strategy</a:t>
          </a:r>
        </a:p>
        <a:p>
          <a:pPr marL="57150" lvl="1" indent="-57150" algn="l" defTabSz="355600">
            <a:lnSpc>
              <a:spcPct val="90000"/>
            </a:lnSpc>
            <a:spcBef>
              <a:spcPct val="0"/>
            </a:spcBef>
            <a:spcAft>
              <a:spcPct val="15000"/>
            </a:spcAft>
            <a:buChar char="••"/>
          </a:pPr>
          <a:r>
            <a:rPr lang="en-US" sz="800" kern="1200"/>
            <a:t>Development of transaction materials</a:t>
          </a:r>
        </a:p>
        <a:p>
          <a:pPr marL="57150" lvl="1" indent="-57150" algn="l" defTabSz="355600">
            <a:lnSpc>
              <a:spcPct val="90000"/>
            </a:lnSpc>
            <a:spcBef>
              <a:spcPct val="0"/>
            </a:spcBef>
            <a:spcAft>
              <a:spcPct val="15000"/>
            </a:spcAft>
            <a:buChar char="••"/>
          </a:pPr>
          <a:r>
            <a:rPr lang="en-US" sz="800" kern="1200"/>
            <a:t>Evaluation committee development</a:t>
          </a:r>
        </a:p>
      </dsp:txBody>
      <dsp:txXfrm rot="-5400000">
        <a:off x="607484" y="27536"/>
        <a:ext cx="2309262" cy="50901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Examples of promotional materials for tourism concessions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24323" y="-262043"/>
          <a:ext cx="918633"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Toolkits for concessioning tourism from within SADC (Annex X)</a:t>
          </a:r>
        </a:p>
        <a:p>
          <a:pPr marL="57150" lvl="1" indent="-57150" algn="l" defTabSz="311150">
            <a:lnSpc>
              <a:spcPct val="90000"/>
            </a:lnSpc>
            <a:spcBef>
              <a:spcPct val="0"/>
            </a:spcBef>
            <a:spcAft>
              <a:spcPct val="15000"/>
            </a:spcAft>
            <a:buChar char="••"/>
          </a:pPr>
          <a:r>
            <a:rPr lang="en-US" sz="700" kern="1200"/>
            <a:t>Tools for generalconcessioning from the World Bank (Annex X)</a:t>
          </a:r>
        </a:p>
        <a:p>
          <a:pPr marL="57150" lvl="1" indent="-57150" algn="l" defTabSz="311150">
            <a:lnSpc>
              <a:spcPct val="90000"/>
            </a:lnSpc>
            <a:spcBef>
              <a:spcPct val="0"/>
            </a:spcBef>
            <a:spcAft>
              <a:spcPct val="15000"/>
            </a:spcAft>
            <a:buChar char="••"/>
          </a:pPr>
          <a:r>
            <a:rPr lang="en-US" sz="700" kern="1200"/>
            <a:t>Guidance on dealing with unsolicited proposals (Annex X)</a:t>
          </a:r>
        </a:p>
        <a:p>
          <a:pPr marL="57150" lvl="1" indent="-57150" algn="l" defTabSz="311150">
            <a:lnSpc>
              <a:spcPct val="90000"/>
            </a:lnSpc>
            <a:spcBef>
              <a:spcPct val="0"/>
            </a:spcBef>
            <a:spcAft>
              <a:spcPct val="15000"/>
            </a:spcAft>
            <a:buChar char="••"/>
          </a:pPr>
          <a:endParaRPr lang="en-US" sz="700" kern="1200"/>
        </a:p>
      </dsp:txBody>
      <dsp:txXfrm rot="-5400000">
        <a:off x="462280" y="44844"/>
        <a:ext cx="1397876" cy="828945"/>
      </dsp:txXfrm>
    </dsp:sp>
    <dsp:sp modelId="{A9379DD6-745E-9848-BCF2-F21FAC005BC8}">
      <dsp:nvSpPr>
        <dsp:cNvPr id="0" name=""/>
        <dsp:cNvSpPr/>
      </dsp:nvSpPr>
      <dsp:spPr>
        <a:xfrm>
          <a:off x="0" y="0"/>
          <a:ext cx="445773" cy="9186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87511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62423" y="-300143"/>
          <a:ext cx="842433"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Template EoIs, Prequalification requests, RfPs, concession agreemnets and screening checklists (Annex X)</a:t>
          </a:r>
        </a:p>
        <a:p>
          <a:pPr marL="57150" lvl="1" indent="-57150" algn="l" defTabSz="311150">
            <a:lnSpc>
              <a:spcPct val="90000"/>
            </a:lnSpc>
            <a:spcBef>
              <a:spcPct val="0"/>
            </a:spcBef>
            <a:spcAft>
              <a:spcPct val="15000"/>
            </a:spcAft>
            <a:buChar char="••"/>
          </a:pPr>
          <a:r>
            <a:rPr lang="en-US" sz="700" kern="1200"/>
            <a:t>Guidance for establishing data rooms (Annex X)</a:t>
          </a:r>
        </a:p>
        <a:p>
          <a:pPr marL="57150" lvl="1" indent="-57150" algn="l" defTabSz="311150">
            <a:lnSpc>
              <a:spcPct val="90000"/>
            </a:lnSpc>
            <a:spcBef>
              <a:spcPct val="0"/>
            </a:spcBef>
            <a:spcAft>
              <a:spcPct val="15000"/>
            </a:spcAft>
            <a:buChar char="••"/>
          </a:pPr>
          <a:endParaRPr lang="en-US" sz="700" kern="1200"/>
        </a:p>
      </dsp:txBody>
      <dsp:txXfrm rot="-5400000">
        <a:off x="462280" y="41124"/>
        <a:ext cx="1401596" cy="760185"/>
      </dsp:txXfrm>
    </dsp:sp>
    <dsp:sp modelId="{A9379DD6-745E-9848-BCF2-F21FAC005BC8}">
      <dsp:nvSpPr>
        <dsp:cNvPr id="0" name=""/>
        <dsp:cNvSpPr/>
      </dsp:nvSpPr>
      <dsp:spPr>
        <a:xfrm>
          <a:off x="0" y="0"/>
          <a:ext cx="445773" cy="8424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79891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Evaulation committee terms of reference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4: Transaction management</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Procurement process</a:t>
          </a:r>
        </a:p>
        <a:p>
          <a:pPr marL="57150" lvl="1" indent="-57150" algn="l" defTabSz="355600">
            <a:lnSpc>
              <a:spcPct val="90000"/>
            </a:lnSpc>
            <a:spcBef>
              <a:spcPct val="0"/>
            </a:spcBef>
            <a:spcAft>
              <a:spcPct val="15000"/>
            </a:spcAft>
            <a:buChar char="••"/>
          </a:pPr>
          <a:r>
            <a:rPr lang="en-US" sz="800" kern="1200"/>
            <a:t>Win-win deals and things to avoid</a:t>
          </a:r>
        </a:p>
      </dsp:txBody>
      <dsp:txXfrm rot="-5400000">
        <a:off x="607484" y="27536"/>
        <a:ext cx="2309262" cy="50901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Concessionning toolkit for South Africa; Policy for Namibia; Tookit for Mozambique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Step 1: Scoping</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Goals, motivations and objectives</a:t>
          </a:r>
        </a:p>
        <a:p>
          <a:pPr marL="57150" lvl="1" indent="-57150" algn="l" defTabSz="355600">
            <a:lnSpc>
              <a:spcPct val="90000"/>
            </a:lnSpc>
            <a:spcBef>
              <a:spcPct val="0"/>
            </a:spcBef>
            <a:spcAft>
              <a:spcPct val="15000"/>
            </a:spcAft>
            <a:buChar char="••"/>
          </a:pPr>
          <a:r>
            <a:rPr lang="en-US" sz="800" kern="1200"/>
            <a:t>Concessions experience</a:t>
          </a:r>
        </a:p>
        <a:p>
          <a:pPr marL="57150" lvl="1" indent="-57150" algn="l" defTabSz="355600">
            <a:lnSpc>
              <a:spcPct val="90000"/>
            </a:lnSpc>
            <a:spcBef>
              <a:spcPct val="0"/>
            </a:spcBef>
            <a:spcAft>
              <a:spcPct val="15000"/>
            </a:spcAft>
            <a:buChar char="••"/>
          </a:pPr>
          <a:r>
            <a:rPr lang="en-US" sz="800" kern="1200"/>
            <a:t>Potential barriers</a:t>
          </a:r>
        </a:p>
        <a:p>
          <a:pPr marL="57150" lvl="1" indent="-57150" algn="l" defTabSz="355600">
            <a:lnSpc>
              <a:spcPct val="90000"/>
            </a:lnSpc>
            <a:spcBef>
              <a:spcPct val="0"/>
            </a:spcBef>
            <a:spcAft>
              <a:spcPct val="15000"/>
            </a:spcAft>
            <a:buChar char="••"/>
          </a:pPr>
          <a:r>
            <a:rPr lang="en-US" sz="800" kern="1200"/>
            <a:t>Whether to proceed or not</a:t>
          </a:r>
        </a:p>
      </dsp:txBody>
      <dsp:txXfrm rot="-5400000">
        <a:off x="607484" y="27536"/>
        <a:ext cx="2309262" cy="50901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Case studies of successful concessions iin SADC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Step 5: Contract management</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Capacity and skills</a:t>
          </a:r>
        </a:p>
        <a:p>
          <a:pPr marL="57150" lvl="1" indent="-57150" algn="l" defTabSz="355600">
            <a:lnSpc>
              <a:spcPct val="90000"/>
            </a:lnSpc>
            <a:spcBef>
              <a:spcPct val="0"/>
            </a:spcBef>
            <a:spcAft>
              <a:spcPct val="15000"/>
            </a:spcAft>
            <a:buChar char="••"/>
          </a:pPr>
          <a:r>
            <a:rPr lang="en-US" sz="800" kern="1200"/>
            <a:t>Manuals</a:t>
          </a:r>
        </a:p>
        <a:p>
          <a:pPr marL="57150" lvl="1" indent="-57150" algn="l" defTabSz="355600">
            <a:lnSpc>
              <a:spcPct val="90000"/>
            </a:lnSpc>
            <a:spcBef>
              <a:spcPct val="0"/>
            </a:spcBef>
            <a:spcAft>
              <a:spcPct val="15000"/>
            </a:spcAft>
            <a:buChar char="••"/>
          </a:pPr>
          <a:r>
            <a:rPr lang="en-US" sz="800" kern="1200"/>
            <a:t>End of concession and next steps</a:t>
          </a:r>
        </a:p>
      </dsp:txBody>
      <dsp:txXfrm rot="-5400000">
        <a:off x="607484" y="27536"/>
        <a:ext cx="2309262" cy="50901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Concessionning training manual, for Lesotho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53439" y="-391160"/>
          <a:ext cx="6604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Monitoring and evaluation tools (Annex X)</a:t>
          </a:r>
        </a:p>
        <a:p>
          <a:pPr marL="57150" lvl="1" indent="-57150" algn="l" defTabSz="311150">
            <a:lnSpc>
              <a:spcPct val="90000"/>
            </a:lnSpc>
            <a:spcBef>
              <a:spcPct val="0"/>
            </a:spcBef>
            <a:spcAft>
              <a:spcPct val="15000"/>
            </a:spcAft>
            <a:buChar char="••"/>
          </a:pPr>
          <a:r>
            <a:rPr lang="en-US" sz="700" kern="1200"/>
            <a:t>Template concession manuals (Annex X)</a:t>
          </a:r>
        </a:p>
        <a:p>
          <a:pPr marL="57150" lvl="1" indent="-57150" algn="l" defTabSz="311150">
            <a:lnSpc>
              <a:spcPct val="90000"/>
            </a:lnSpc>
            <a:spcBef>
              <a:spcPct val="0"/>
            </a:spcBef>
            <a:spcAft>
              <a:spcPct val="15000"/>
            </a:spcAft>
            <a:buChar char="••"/>
          </a:pPr>
          <a:endParaRPr lang="en-US" sz="700" kern="1200"/>
        </a:p>
      </dsp:txBody>
      <dsp:txXfrm rot="-5400000">
        <a:off x="462279" y="32238"/>
        <a:ext cx="1410482" cy="595924"/>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 Examples of termination of concessions (Annex X)</a:t>
          </a:r>
        </a:p>
        <a:p>
          <a:pPr marL="57150" lvl="1" indent="-57150" algn="l" defTabSz="400050">
            <a:lnSpc>
              <a:spcPct val="90000"/>
            </a:lnSpc>
            <a:spcBef>
              <a:spcPct val="0"/>
            </a:spcBef>
            <a:spcAft>
              <a:spcPct val="15000"/>
            </a:spcAft>
            <a:buChar char="••"/>
          </a:pPr>
          <a:endParaRPr lang="en-US" sz="9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Background reading on concessions and sustainable tourism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98900" y="296063"/>
          <a:ext cx="870505" cy="59510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Step 2: Design and Feasibility</a:t>
          </a:r>
        </a:p>
      </dsp:txBody>
      <dsp:txXfrm rot="-5400000">
        <a:off x="38803" y="455912"/>
        <a:ext cx="595101" cy="275404"/>
      </dsp:txXfrm>
    </dsp:sp>
    <dsp:sp modelId="{FA6E9BCF-C9F4-7240-AB6C-2402D35AD945}">
      <dsp:nvSpPr>
        <dsp:cNvPr id="0" name=""/>
        <dsp:cNvSpPr/>
      </dsp:nvSpPr>
      <dsp:spPr>
        <a:xfrm rot="5400000">
          <a:off x="1394723" y="-601302"/>
          <a:ext cx="992641" cy="235907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Policy and legislative framework</a:t>
          </a:r>
        </a:p>
        <a:p>
          <a:pPr marL="57150" lvl="1" indent="-57150" algn="l" defTabSz="355600">
            <a:lnSpc>
              <a:spcPct val="90000"/>
            </a:lnSpc>
            <a:spcBef>
              <a:spcPct val="0"/>
            </a:spcBef>
            <a:spcAft>
              <a:spcPct val="15000"/>
            </a:spcAft>
            <a:buChar char="••"/>
          </a:pPr>
          <a:r>
            <a:rPr lang="en-US" sz="800" kern="1200"/>
            <a:t>Spatial planning</a:t>
          </a:r>
        </a:p>
        <a:p>
          <a:pPr marL="57150" lvl="1" indent="-57150" algn="l" defTabSz="355600">
            <a:lnSpc>
              <a:spcPct val="90000"/>
            </a:lnSpc>
            <a:spcBef>
              <a:spcPct val="0"/>
            </a:spcBef>
            <a:spcAft>
              <a:spcPct val="15000"/>
            </a:spcAft>
            <a:buChar char="••"/>
          </a:pPr>
          <a:r>
            <a:rPr lang="en-US" sz="800" kern="1200"/>
            <a:t>Tourism product types</a:t>
          </a:r>
        </a:p>
        <a:p>
          <a:pPr marL="57150" lvl="1" indent="-57150" algn="l" defTabSz="355600">
            <a:lnSpc>
              <a:spcPct val="90000"/>
            </a:lnSpc>
            <a:spcBef>
              <a:spcPct val="0"/>
            </a:spcBef>
            <a:spcAft>
              <a:spcPct val="15000"/>
            </a:spcAft>
            <a:buChar char="••"/>
          </a:pPr>
          <a:r>
            <a:rPr lang="en-US" sz="800" kern="1200"/>
            <a:t>Concession model selection</a:t>
          </a:r>
        </a:p>
        <a:p>
          <a:pPr marL="57150" lvl="1" indent="-57150" algn="l" defTabSz="355600">
            <a:lnSpc>
              <a:spcPct val="90000"/>
            </a:lnSpc>
            <a:spcBef>
              <a:spcPct val="0"/>
            </a:spcBef>
            <a:spcAft>
              <a:spcPct val="15000"/>
            </a:spcAft>
            <a:buChar char="••"/>
          </a:pPr>
          <a:r>
            <a:rPr lang="en-US" sz="800" kern="1200"/>
            <a:t>Development impact</a:t>
          </a:r>
        </a:p>
        <a:p>
          <a:pPr marL="57150" lvl="1" indent="-57150" algn="l" defTabSz="355600">
            <a:lnSpc>
              <a:spcPct val="90000"/>
            </a:lnSpc>
            <a:spcBef>
              <a:spcPct val="0"/>
            </a:spcBef>
            <a:spcAft>
              <a:spcPct val="15000"/>
            </a:spcAft>
            <a:buChar char="••"/>
          </a:pPr>
          <a:r>
            <a:rPr lang="en-US" sz="800" kern="1200"/>
            <a:t>Risk</a:t>
          </a:r>
        </a:p>
        <a:p>
          <a:pPr marL="57150" lvl="1" indent="-57150" algn="l" defTabSz="355600">
            <a:lnSpc>
              <a:spcPct val="90000"/>
            </a:lnSpc>
            <a:spcBef>
              <a:spcPct val="0"/>
            </a:spcBef>
            <a:spcAft>
              <a:spcPct val="15000"/>
            </a:spcAft>
            <a:buChar char="••"/>
          </a:pPr>
          <a:r>
            <a:rPr lang="en-US" sz="800" kern="1200"/>
            <a:t>Viability and market assessment</a:t>
          </a:r>
        </a:p>
      </dsp:txBody>
      <dsp:txXfrm rot="-5400000">
        <a:off x="711507" y="130371"/>
        <a:ext cx="2310618" cy="8957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61906" y="-391160"/>
          <a:ext cx="643467"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Legal context for SADC countries,(Annex X)</a:t>
          </a:r>
        </a:p>
        <a:p>
          <a:pPr marL="57150" lvl="1" indent="-57150" algn="l" defTabSz="311150">
            <a:lnSpc>
              <a:spcPct val="90000"/>
            </a:lnSpc>
            <a:spcBef>
              <a:spcPct val="0"/>
            </a:spcBef>
            <a:spcAft>
              <a:spcPct val="15000"/>
            </a:spcAft>
            <a:buChar char="••"/>
          </a:pPr>
          <a:r>
            <a:rPr lang="en-US" sz="700" kern="1200"/>
            <a:t>ToRs for legal advisors at national and destination level (Annex X)</a:t>
          </a:r>
        </a:p>
        <a:p>
          <a:pPr marL="57150" lvl="1" indent="-57150" algn="l" defTabSz="311150">
            <a:lnSpc>
              <a:spcPct val="90000"/>
            </a:lnSpc>
            <a:spcBef>
              <a:spcPct val="0"/>
            </a:spcBef>
            <a:spcAft>
              <a:spcPct val="15000"/>
            </a:spcAft>
            <a:buChar char="••"/>
          </a:pPr>
          <a:endParaRPr lang="en-US" sz="700" kern="1200"/>
        </a:p>
      </dsp:txBody>
      <dsp:txXfrm rot="-5400000">
        <a:off x="462280" y="39877"/>
        <a:ext cx="1411309" cy="580645"/>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Protected area and TFCA tourism plans for concessions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Case studies on Desert Knights and Tour de Tuli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World Bank concession guidelines and toolkit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77239" y="-314960"/>
          <a:ext cx="8128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Case studies for Maputo Special Reserve and Chemucane (Annex X)</a:t>
          </a:r>
        </a:p>
        <a:p>
          <a:pPr marL="57150" lvl="1" indent="-57150" algn="l" defTabSz="311150">
            <a:lnSpc>
              <a:spcPct val="90000"/>
            </a:lnSpc>
            <a:spcBef>
              <a:spcPct val="0"/>
            </a:spcBef>
            <a:spcAft>
              <a:spcPct val="15000"/>
            </a:spcAft>
            <a:buChar char="••"/>
          </a:pPr>
          <a:r>
            <a:rPr lang="en-US" sz="700" kern="1200"/>
            <a:t>Links to guidance on improving development impacts of tourism, including joint ventures and value chain links (Annex X)</a:t>
          </a:r>
        </a:p>
        <a:p>
          <a:pPr marL="57150" lvl="1" indent="-57150" algn="l" defTabSz="311150">
            <a:lnSpc>
              <a:spcPct val="90000"/>
            </a:lnSpc>
            <a:spcBef>
              <a:spcPct val="0"/>
            </a:spcBef>
            <a:spcAft>
              <a:spcPct val="15000"/>
            </a:spcAft>
            <a:buChar char="••"/>
          </a:pPr>
          <a:endParaRPr lang="en-US" sz="700" kern="1200"/>
        </a:p>
      </dsp:txBody>
      <dsp:txXfrm rot="-5400000">
        <a:off x="462279" y="39678"/>
        <a:ext cx="1403042" cy="733444"/>
      </dsp:txXfrm>
    </dsp:sp>
    <dsp:sp modelId="{A9379DD6-745E-9848-BCF2-F21FAC005BC8}">
      <dsp:nvSpPr>
        <dsp:cNvPr id="0" name=""/>
        <dsp:cNvSpPr/>
      </dsp:nvSpPr>
      <dsp:spPr>
        <a:xfrm>
          <a:off x="0" y="0"/>
          <a:ext cx="445773" cy="8128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7692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0C2A-ACC8-0B4E-AA5A-E6A523EC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29308</Words>
  <Characters>167057</Characters>
  <Application>Microsoft Macintosh Word</Application>
  <DocSecurity>0</DocSecurity>
  <Lines>1392</Lines>
  <Paragraphs>391</Paragraphs>
  <ScaleCrop>false</ScaleCrop>
  <HeadingPairs>
    <vt:vector size="2" baseType="variant">
      <vt:variant>
        <vt:lpstr>Title</vt:lpstr>
      </vt:variant>
      <vt:variant>
        <vt:i4>1</vt:i4>
      </vt:variant>
    </vt:vector>
  </HeadingPairs>
  <TitlesOfParts>
    <vt:vector size="1" baseType="lpstr">
      <vt:lpstr>Evaluation of IFC’s Tourism Investment Generation Program in Sierra Leone</vt:lpstr>
    </vt:vector>
  </TitlesOfParts>
  <Manager/>
  <Company>The World Bank Group</Company>
  <LinksUpToDate>false</LinksUpToDate>
  <CharactersWithSpaces>195974</CharactersWithSpaces>
  <SharedDoc>false</SharedDoc>
  <HyperlinkBase/>
  <HLinks>
    <vt:vector size="210" baseType="variant">
      <vt:variant>
        <vt:i4>2424949</vt:i4>
      </vt:variant>
      <vt:variant>
        <vt:i4>378</vt:i4>
      </vt:variant>
      <vt:variant>
        <vt:i4>0</vt:i4>
      </vt:variant>
      <vt:variant>
        <vt:i4>5</vt:i4>
      </vt:variant>
      <vt:variant>
        <vt:lpwstr>https://www.surveymonkey.com/s/2GJS8BW</vt:lpwstr>
      </vt:variant>
      <vt:variant>
        <vt:lpwstr/>
      </vt:variant>
      <vt:variant>
        <vt:i4>5177443</vt:i4>
      </vt:variant>
      <vt:variant>
        <vt:i4>375</vt:i4>
      </vt:variant>
      <vt:variant>
        <vt:i4>0</vt:i4>
      </vt:variant>
      <vt:variant>
        <vt:i4>5</vt:i4>
      </vt:variant>
      <vt:variant>
        <vt:lpwstr>http://www.wttc.org/eng/Tourism_Research/Economic_Data_Search_Tool/</vt:lpwstr>
      </vt:variant>
      <vt:variant>
        <vt:lpwstr/>
      </vt:variant>
      <vt:variant>
        <vt:i4>131118</vt:i4>
      </vt:variant>
      <vt:variant>
        <vt:i4>372</vt:i4>
      </vt:variant>
      <vt:variant>
        <vt:i4>0</vt:i4>
      </vt:variant>
      <vt:variant>
        <vt:i4>5</vt:i4>
      </vt:variant>
      <vt:variant>
        <vt:lpwstr>http://www1.ifc.org/wps/wcm/connect/REGION__EXT_Content/Regions/Sub-Saharan+Africa/Strategy/</vt:lpwstr>
      </vt:variant>
      <vt:variant>
        <vt:lpwstr/>
      </vt:variant>
      <vt:variant>
        <vt:i4>1638500</vt:i4>
      </vt:variant>
      <vt:variant>
        <vt:i4>366</vt:i4>
      </vt:variant>
      <vt:variant>
        <vt:i4>0</vt:i4>
      </vt:variant>
      <vt:variant>
        <vt:i4>5</vt:i4>
      </vt:variant>
      <vt:variant>
        <vt:lpwstr>http://africainvestor.com</vt:lpwstr>
      </vt:variant>
      <vt:variant>
        <vt:lpwstr/>
      </vt:variant>
      <vt:variant>
        <vt:i4>8192124</vt:i4>
      </vt:variant>
      <vt:variant>
        <vt:i4>363</vt:i4>
      </vt:variant>
      <vt:variant>
        <vt:i4>0</vt:i4>
      </vt:variant>
      <vt:variant>
        <vt:i4>5</vt:i4>
      </vt:variant>
      <vt:variant>
        <vt:lpwstr>http://www.worldbank.org/wb/slideshows/mozambique-tourism/</vt:lpwstr>
      </vt:variant>
      <vt:variant>
        <vt:lpwstr/>
      </vt:variant>
      <vt:variant>
        <vt:i4>1638404</vt:i4>
      </vt:variant>
      <vt:variant>
        <vt:i4>332</vt:i4>
      </vt:variant>
      <vt:variant>
        <vt:i4>0</vt:i4>
      </vt:variant>
      <vt:variant>
        <vt:i4>5</vt:i4>
      </vt:variant>
      <vt:variant>
        <vt:lpwstr/>
      </vt:variant>
      <vt:variant>
        <vt:lpwstr>_Toc320883778</vt:lpwstr>
      </vt:variant>
      <vt:variant>
        <vt:i4>1441792</vt:i4>
      </vt:variant>
      <vt:variant>
        <vt:i4>323</vt:i4>
      </vt:variant>
      <vt:variant>
        <vt:i4>0</vt:i4>
      </vt:variant>
      <vt:variant>
        <vt:i4>5</vt:i4>
      </vt:variant>
      <vt:variant>
        <vt:lpwstr/>
      </vt:variant>
      <vt:variant>
        <vt:lpwstr>_Toc321378184</vt:lpwstr>
      </vt:variant>
      <vt:variant>
        <vt:i4>1441799</vt:i4>
      </vt:variant>
      <vt:variant>
        <vt:i4>317</vt:i4>
      </vt:variant>
      <vt:variant>
        <vt:i4>0</vt:i4>
      </vt:variant>
      <vt:variant>
        <vt:i4>5</vt:i4>
      </vt:variant>
      <vt:variant>
        <vt:lpwstr/>
      </vt:variant>
      <vt:variant>
        <vt:lpwstr>_Toc321378183</vt:lpwstr>
      </vt:variant>
      <vt:variant>
        <vt:i4>1638407</vt:i4>
      </vt:variant>
      <vt:variant>
        <vt:i4>308</vt:i4>
      </vt:variant>
      <vt:variant>
        <vt:i4>0</vt:i4>
      </vt:variant>
      <vt:variant>
        <vt:i4>5</vt:i4>
      </vt:variant>
      <vt:variant>
        <vt:lpwstr/>
      </vt:variant>
      <vt:variant>
        <vt:lpwstr>_Toc321378577</vt:lpwstr>
      </vt:variant>
      <vt:variant>
        <vt:i4>1638406</vt:i4>
      </vt:variant>
      <vt:variant>
        <vt:i4>302</vt:i4>
      </vt:variant>
      <vt:variant>
        <vt:i4>0</vt:i4>
      </vt:variant>
      <vt:variant>
        <vt:i4>5</vt:i4>
      </vt:variant>
      <vt:variant>
        <vt:lpwstr/>
      </vt:variant>
      <vt:variant>
        <vt:lpwstr>_Toc321378576</vt:lpwstr>
      </vt:variant>
      <vt:variant>
        <vt:i4>1638405</vt:i4>
      </vt:variant>
      <vt:variant>
        <vt:i4>296</vt:i4>
      </vt:variant>
      <vt:variant>
        <vt:i4>0</vt:i4>
      </vt:variant>
      <vt:variant>
        <vt:i4>5</vt:i4>
      </vt:variant>
      <vt:variant>
        <vt:lpwstr/>
      </vt:variant>
      <vt:variant>
        <vt:lpwstr>_Toc321378575</vt:lpwstr>
      </vt:variant>
      <vt:variant>
        <vt:i4>1638404</vt:i4>
      </vt:variant>
      <vt:variant>
        <vt:i4>290</vt:i4>
      </vt:variant>
      <vt:variant>
        <vt:i4>0</vt:i4>
      </vt:variant>
      <vt:variant>
        <vt:i4>5</vt:i4>
      </vt:variant>
      <vt:variant>
        <vt:lpwstr/>
      </vt:variant>
      <vt:variant>
        <vt:lpwstr>_Toc321378574</vt:lpwstr>
      </vt:variant>
      <vt:variant>
        <vt:i4>1638403</vt:i4>
      </vt:variant>
      <vt:variant>
        <vt:i4>284</vt:i4>
      </vt:variant>
      <vt:variant>
        <vt:i4>0</vt:i4>
      </vt:variant>
      <vt:variant>
        <vt:i4>5</vt:i4>
      </vt:variant>
      <vt:variant>
        <vt:lpwstr/>
      </vt:variant>
      <vt:variant>
        <vt:lpwstr>_Toc321378573</vt:lpwstr>
      </vt:variant>
      <vt:variant>
        <vt:i4>1638402</vt:i4>
      </vt:variant>
      <vt:variant>
        <vt:i4>278</vt:i4>
      </vt:variant>
      <vt:variant>
        <vt:i4>0</vt:i4>
      </vt:variant>
      <vt:variant>
        <vt:i4>5</vt:i4>
      </vt:variant>
      <vt:variant>
        <vt:lpwstr/>
      </vt:variant>
      <vt:variant>
        <vt:lpwstr>_Toc321378572</vt:lpwstr>
      </vt:variant>
      <vt:variant>
        <vt:i4>1638401</vt:i4>
      </vt:variant>
      <vt:variant>
        <vt:i4>272</vt:i4>
      </vt:variant>
      <vt:variant>
        <vt:i4>0</vt:i4>
      </vt:variant>
      <vt:variant>
        <vt:i4>5</vt:i4>
      </vt:variant>
      <vt:variant>
        <vt:lpwstr/>
      </vt:variant>
      <vt:variant>
        <vt:lpwstr>_Toc321378571</vt:lpwstr>
      </vt:variant>
      <vt:variant>
        <vt:i4>1638400</vt:i4>
      </vt:variant>
      <vt:variant>
        <vt:i4>266</vt:i4>
      </vt:variant>
      <vt:variant>
        <vt:i4>0</vt:i4>
      </vt:variant>
      <vt:variant>
        <vt:i4>5</vt:i4>
      </vt:variant>
      <vt:variant>
        <vt:lpwstr/>
      </vt:variant>
      <vt:variant>
        <vt:lpwstr>_Toc321378570</vt:lpwstr>
      </vt:variant>
      <vt:variant>
        <vt:i4>1572873</vt:i4>
      </vt:variant>
      <vt:variant>
        <vt:i4>260</vt:i4>
      </vt:variant>
      <vt:variant>
        <vt:i4>0</vt:i4>
      </vt:variant>
      <vt:variant>
        <vt:i4>5</vt:i4>
      </vt:variant>
      <vt:variant>
        <vt:lpwstr/>
      </vt:variant>
      <vt:variant>
        <vt:lpwstr>_Toc321378569</vt:lpwstr>
      </vt:variant>
      <vt:variant>
        <vt:i4>1572872</vt:i4>
      </vt:variant>
      <vt:variant>
        <vt:i4>254</vt:i4>
      </vt:variant>
      <vt:variant>
        <vt:i4>0</vt:i4>
      </vt:variant>
      <vt:variant>
        <vt:i4>5</vt:i4>
      </vt:variant>
      <vt:variant>
        <vt:lpwstr/>
      </vt:variant>
      <vt:variant>
        <vt:lpwstr>_Toc321378568</vt:lpwstr>
      </vt:variant>
      <vt:variant>
        <vt:i4>1572871</vt:i4>
      </vt:variant>
      <vt:variant>
        <vt:i4>248</vt:i4>
      </vt:variant>
      <vt:variant>
        <vt:i4>0</vt:i4>
      </vt:variant>
      <vt:variant>
        <vt:i4>5</vt:i4>
      </vt:variant>
      <vt:variant>
        <vt:lpwstr/>
      </vt:variant>
      <vt:variant>
        <vt:lpwstr>_Toc321378567</vt:lpwstr>
      </vt:variant>
      <vt:variant>
        <vt:i4>1572870</vt:i4>
      </vt:variant>
      <vt:variant>
        <vt:i4>242</vt:i4>
      </vt:variant>
      <vt:variant>
        <vt:i4>0</vt:i4>
      </vt:variant>
      <vt:variant>
        <vt:i4>5</vt:i4>
      </vt:variant>
      <vt:variant>
        <vt:lpwstr/>
      </vt:variant>
      <vt:variant>
        <vt:lpwstr>_Toc321378566</vt:lpwstr>
      </vt:variant>
      <vt:variant>
        <vt:i4>1572869</vt:i4>
      </vt:variant>
      <vt:variant>
        <vt:i4>236</vt:i4>
      </vt:variant>
      <vt:variant>
        <vt:i4>0</vt:i4>
      </vt:variant>
      <vt:variant>
        <vt:i4>5</vt:i4>
      </vt:variant>
      <vt:variant>
        <vt:lpwstr/>
      </vt:variant>
      <vt:variant>
        <vt:lpwstr>_Toc321378565</vt:lpwstr>
      </vt:variant>
      <vt:variant>
        <vt:i4>1572868</vt:i4>
      </vt:variant>
      <vt:variant>
        <vt:i4>230</vt:i4>
      </vt:variant>
      <vt:variant>
        <vt:i4>0</vt:i4>
      </vt:variant>
      <vt:variant>
        <vt:i4>5</vt:i4>
      </vt:variant>
      <vt:variant>
        <vt:lpwstr/>
      </vt:variant>
      <vt:variant>
        <vt:lpwstr>_Toc321378564</vt:lpwstr>
      </vt:variant>
      <vt:variant>
        <vt:i4>1572867</vt:i4>
      </vt:variant>
      <vt:variant>
        <vt:i4>224</vt:i4>
      </vt:variant>
      <vt:variant>
        <vt:i4>0</vt:i4>
      </vt:variant>
      <vt:variant>
        <vt:i4>5</vt:i4>
      </vt:variant>
      <vt:variant>
        <vt:lpwstr/>
      </vt:variant>
      <vt:variant>
        <vt:lpwstr>_Toc321378563</vt:lpwstr>
      </vt:variant>
      <vt:variant>
        <vt:i4>1572866</vt:i4>
      </vt:variant>
      <vt:variant>
        <vt:i4>218</vt:i4>
      </vt:variant>
      <vt:variant>
        <vt:i4>0</vt:i4>
      </vt:variant>
      <vt:variant>
        <vt:i4>5</vt:i4>
      </vt:variant>
      <vt:variant>
        <vt:lpwstr/>
      </vt:variant>
      <vt:variant>
        <vt:lpwstr>_Toc321378562</vt:lpwstr>
      </vt:variant>
      <vt:variant>
        <vt:i4>1572865</vt:i4>
      </vt:variant>
      <vt:variant>
        <vt:i4>212</vt:i4>
      </vt:variant>
      <vt:variant>
        <vt:i4>0</vt:i4>
      </vt:variant>
      <vt:variant>
        <vt:i4>5</vt:i4>
      </vt:variant>
      <vt:variant>
        <vt:lpwstr/>
      </vt:variant>
      <vt:variant>
        <vt:lpwstr>_Toc321378561</vt:lpwstr>
      </vt:variant>
      <vt:variant>
        <vt:i4>1572864</vt:i4>
      </vt:variant>
      <vt:variant>
        <vt:i4>206</vt:i4>
      </vt:variant>
      <vt:variant>
        <vt:i4>0</vt:i4>
      </vt:variant>
      <vt:variant>
        <vt:i4>5</vt:i4>
      </vt:variant>
      <vt:variant>
        <vt:lpwstr/>
      </vt:variant>
      <vt:variant>
        <vt:lpwstr>_Toc321378560</vt:lpwstr>
      </vt:variant>
      <vt:variant>
        <vt:i4>1769481</vt:i4>
      </vt:variant>
      <vt:variant>
        <vt:i4>200</vt:i4>
      </vt:variant>
      <vt:variant>
        <vt:i4>0</vt:i4>
      </vt:variant>
      <vt:variant>
        <vt:i4>5</vt:i4>
      </vt:variant>
      <vt:variant>
        <vt:lpwstr/>
      </vt:variant>
      <vt:variant>
        <vt:lpwstr>_Toc321378559</vt:lpwstr>
      </vt:variant>
      <vt:variant>
        <vt:i4>1769480</vt:i4>
      </vt:variant>
      <vt:variant>
        <vt:i4>194</vt:i4>
      </vt:variant>
      <vt:variant>
        <vt:i4>0</vt:i4>
      </vt:variant>
      <vt:variant>
        <vt:i4>5</vt:i4>
      </vt:variant>
      <vt:variant>
        <vt:lpwstr/>
      </vt:variant>
      <vt:variant>
        <vt:lpwstr>_Toc321378558</vt:lpwstr>
      </vt:variant>
      <vt:variant>
        <vt:i4>1769479</vt:i4>
      </vt:variant>
      <vt:variant>
        <vt:i4>188</vt:i4>
      </vt:variant>
      <vt:variant>
        <vt:i4>0</vt:i4>
      </vt:variant>
      <vt:variant>
        <vt:i4>5</vt:i4>
      </vt:variant>
      <vt:variant>
        <vt:lpwstr/>
      </vt:variant>
      <vt:variant>
        <vt:lpwstr>_Toc321378557</vt:lpwstr>
      </vt:variant>
      <vt:variant>
        <vt:i4>1769478</vt:i4>
      </vt:variant>
      <vt:variant>
        <vt:i4>182</vt:i4>
      </vt:variant>
      <vt:variant>
        <vt:i4>0</vt:i4>
      </vt:variant>
      <vt:variant>
        <vt:i4>5</vt:i4>
      </vt:variant>
      <vt:variant>
        <vt:lpwstr/>
      </vt:variant>
      <vt:variant>
        <vt:lpwstr>_Toc321378556</vt:lpwstr>
      </vt:variant>
      <vt:variant>
        <vt:i4>1769477</vt:i4>
      </vt:variant>
      <vt:variant>
        <vt:i4>176</vt:i4>
      </vt:variant>
      <vt:variant>
        <vt:i4>0</vt:i4>
      </vt:variant>
      <vt:variant>
        <vt:i4>5</vt:i4>
      </vt:variant>
      <vt:variant>
        <vt:lpwstr/>
      </vt:variant>
      <vt:variant>
        <vt:lpwstr>_Toc321378555</vt:lpwstr>
      </vt:variant>
      <vt:variant>
        <vt:i4>1769476</vt:i4>
      </vt:variant>
      <vt:variant>
        <vt:i4>170</vt:i4>
      </vt:variant>
      <vt:variant>
        <vt:i4>0</vt:i4>
      </vt:variant>
      <vt:variant>
        <vt:i4>5</vt:i4>
      </vt:variant>
      <vt:variant>
        <vt:lpwstr/>
      </vt:variant>
      <vt:variant>
        <vt:lpwstr>_Toc321378554</vt:lpwstr>
      </vt:variant>
      <vt:variant>
        <vt:i4>1769475</vt:i4>
      </vt:variant>
      <vt:variant>
        <vt:i4>164</vt:i4>
      </vt:variant>
      <vt:variant>
        <vt:i4>0</vt:i4>
      </vt:variant>
      <vt:variant>
        <vt:i4>5</vt:i4>
      </vt:variant>
      <vt:variant>
        <vt:lpwstr/>
      </vt:variant>
      <vt:variant>
        <vt:lpwstr>_Toc321378553</vt:lpwstr>
      </vt:variant>
      <vt:variant>
        <vt:i4>5963855</vt:i4>
      </vt:variant>
      <vt:variant>
        <vt:i4>3</vt:i4>
      </vt:variant>
      <vt:variant>
        <vt:i4>0</vt:i4>
      </vt:variant>
      <vt:variant>
        <vt:i4>5</vt:i4>
      </vt:variant>
      <vt:variant>
        <vt:lpwstr>http://www.wttc.org/</vt:lpwstr>
      </vt:variant>
      <vt:variant>
        <vt:lpwstr/>
      </vt:variant>
      <vt:variant>
        <vt:i4>5963855</vt:i4>
      </vt:variant>
      <vt:variant>
        <vt:i4>0</vt:i4>
      </vt:variant>
      <vt:variant>
        <vt:i4>0</vt:i4>
      </vt:variant>
      <vt:variant>
        <vt:i4>5</vt:i4>
      </vt:variant>
      <vt:variant>
        <vt:lpwstr>http://www.wttc.org/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IFC’s Tourism Investment Generation Program in Sierra Leone</dc:title>
  <dc:subject/>
  <dc:creator>Mike Fabricius</dc:creator>
  <cp:keywords/>
  <dc:description/>
  <cp:lastModifiedBy>Anna</cp:lastModifiedBy>
  <cp:revision>2</cp:revision>
  <cp:lastPrinted>2012-06-26T11:39:00Z</cp:lastPrinted>
  <dcterms:created xsi:type="dcterms:W3CDTF">2014-08-14T09:53:00Z</dcterms:created>
  <dcterms:modified xsi:type="dcterms:W3CDTF">2014-08-14T09:53:00Z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